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_631"/>
        <w:ind w:firstLine="540"/>
        <w:jc w:val="both"/>
        <w:spacing w:before="220"/>
        <w:rPr>
          <w:b/>
          <w:bCs/>
        </w:rPr>
      </w:pPr>
      <w:r>
        <w:rPr>
          <w:b/>
          <w:bCs/>
          <w:highlight w:val="none"/>
        </w:rPr>
        <w:t xml:space="preserve">Правила подачи документов по 87-пп</w:t>
      </w:r>
      <w:r>
        <w:rPr>
          <w:b/>
          <w:bCs/>
          <w:highlight w:val="none"/>
        </w:rPr>
      </w:r>
    </w:p>
    <w:p>
      <w:pPr>
        <w:pStyle w:val="1_631"/>
        <w:ind w:firstLine="540"/>
        <w:jc w:val="both"/>
        <w:spacing w:before="220"/>
        <w:rPr>
          <w:highlight w:val="none"/>
        </w:rPr>
      </w:pPr>
      <w:r/>
      <w:bookmarkStart w:id="0" w:name="undefined"/>
      <w:r/>
      <w:bookmarkEnd w:id="0"/>
      <w:r>
        <w:t xml:space="preserve">1 </w:t>
      </w:r>
      <w:r>
        <w:t xml:space="preserve">Для получения субси</w:t>
      </w:r>
      <w:r>
        <w:t xml:space="preserve">дии участник отбора в срок, установленный в объявлении о проведении отбора (далее - объявление), формирует заявку в электронной форме посредством заполнения соответствующих форм веб-интерфейса системы "Электронный бюджет" с учетом положений, установленных </w:t>
      </w:r>
      <w:hyperlink w:tooltip="#P290" w:anchor="P290" w:history="1">
        <w:r>
          <w:rPr>
            <w:color w:val="0000ff"/>
          </w:rPr>
          <w:t xml:space="preserve">пунктами 1.12</w:t>
        </w:r>
      </w:hyperlink>
      <w:r>
        <w:t xml:space="preserve"> - </w:t>
      </w:r>
      <w:hyperlink w:tooltip="#P301" w:anchor="P301" w:history="1">
        <w:r>
          <w:rPr>
            <w:color w:val="0000ff"/>
          </w:rPr>
          <w:t xml:space="preserve">1.16 разделов</w:t>
        </w:r>
      </w:hyperlink>
      <w:r>
        <w:t xml:space="preserve"> Порядка (далее - заявка), и представляет в системе "Электронный бюджет" электронные копии документов, представление которых предусмотрено объявлением (документы на бумажном носителе, преобразованные в электронную</w:t>
      </w:r>
      <w:r>
        <w:t xml:space="preserve"> форму путем сканирования):</w:t>
      </w:r>
      <w:r/>
      <w:r/>
    </w:p>
    <w:p>
      <w:pPr>
        <w:pStyle w:val="1_631"/>
        <w:ind w:firstLine="540"/>
        <w:jc w:val="both"/>
        <w:spacing w:before="220"/>
      </w:pPr>
      <w:r/>
      <w:bookmarkStart w:id="0" w:name="undefined"/>
      <w:r/>
      <w:bookmarkEnd w:id="0"/>
      <w:r>
        <w:t xml:space="preserve">1.1. Документ, подтверждающий полномочия лица на осуществление действий от имени участника отбора - юридического лица (коп</w:t>
      </w:r>
      <w:r>
        <w:t xml:space="preserve">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отбора без доверенности (далее - руководитель участника отбора)).</w:t>
      </w:r>
      <w:r/>
      <w:r/>
    </w:p>
    <w:p>
      <w:pPr>
        <w:pStyle w:val="1_631"/>
        <w:ind w:firstLine="540"/>
        <w:jc w:val="both"/>
        <w:spacing w:before="220"/>
      </w:pPr>
      <w:r>
        <w:t xml:space="preserve">В случае если от имени участника отбора действует иное лицо, заявка должна содержать также доверенность представителя на осуществление действий от имени участника отбора либо копию такой доверенности.</w:t>
      </w:r>
      <w:r/>
      <w:r/>
    </w:p>
    <w:p>
      <w:pPr>
        <w:pStyle w:val="1_631"/>
        <w:ind w:firstLine="540"/>
        <w:jc w:val="both"/>
        <w:spacing w:before="220"/>
      </w:pPr>
      <w:r>
        <w:t xml:space="preserve">Дове</w:t>
      </w:r>
      <w:r>
        <w:t xml:space="preserve">ренность представителя юридического лица должна быть подписана руководителем или иным уполномоченным лицом и заверена печатью организации (при наличии). В случае если указанная доверенность подписана иным уполномоченным лицом, к заявке на участие в отборе </w:t>
      </w:r>
      <w:r>
        <w:t xml:space="preserve">прилагается документ, подтверждающий полномочия такого лица.</w:t>
      </w:r>
      <w:r/>
      <w:r/>
    </w:p>
    <w:p>
      <w:pPr>
        <w:pStyle w:val="1_631"/>
        <w:ind w:firstLine="540"/>
        <w:jc w:val="both"/>
        <w:spacing w:before="220"/>
      </w:pPr>
      <w:r>
        <w:t xml:space="preserve">Доверенность представителя индивидуального предпринимателя должна быть удостоверена нотариально.</w:t>
      </w:r>
      <w:r/>
      <w:r/>
    </w:p>
    <w:p>
      <w:pPr>
        <w:pStyle w:val="1_631"/>
        <w:ind w:firstLine="540"/>
        <w:jc w:val="both"/>
        <w:spacing w:before="220"/>
      </w:pPr>
      <w:r>
        <w:t xml:space="preserve">При предоставлении копии доверенности представителя юридического лица она должна быть удостоверена руководителем или иным уполномоченным лицом и заверена печатью организации (при наличии).</w:t>
      </w:r>
      <w:r/>
      <w:r/>
    </w:p>
    <w:p>
      <w:pPr>
        <w:pStyle w:val="1_631"/>
        <w:ind w:firstLine="540"/>
        <w:jc w:val="both"/>
        <w:spacing w:before="220"/>
      </w:pPr>
      <w:r>
        <w:t xml:space="preserve">Копия доверенности представителя индивидуального предпринимателя должна быть удостоверена нотариально.</w:t>
      </w:r>
      <w:r/>
      <w:r/>
    </w:p>
    <w:p>
      <w:pPr>
        <w:pStyle w:val="1_631"/>
        <w:ind w:firstLine="540"/>
        <w:jc w:val="both"/>
        <w:spacing w:before="220"/>
      </w:pPr>
      <w:r>
        <w:t xml:space="preserve">1.2. Выписку из реестра акционеров акционерного общества (в случае если участник отбора - юридическое лицо является акционерным обществом) по состоянию на первое число месяца, в котором подается заявка.</w:t>
      </w:r>
      <w:r/>
      <w:r/>
    </w:p>
    <w:p>
      <w:pPr>
        <w:pStyle w:val="1_631"/>
        <w:ind w:firstLine="540"/>
        <w:jc w:val="both"/>
        <w:spacing w:before="220"/>
      </w:pPr>
      <w:r>
        <w:t xml:space="preserve">1.3. Заключение администрации муниципального района, муниципального или городс</w:t>
      </w:r>
      <w:r>
        <w:t xml:space="preserve">кого округа Белгородской области, на территории которого планируется к реализации или реализуется проект, о соответствии проекта стратегии социально-экономического развития муниципального района, муниципального или городского округа на долгосрочный период.</w:t>
      </w:r>
      <w:r/>
      <w:r/>
    </w:p>
    <w:p>
      <w:pPr>
        <w:pStyle w:val="1_631"/>
        <w:ind w:firstLine="540"/>
        <w:jc w:val="both"/>
        <w:spacing w:before="220"/>
      </w:pPr>
      <w:r>
        <w:t xml:space="preserve">1.4. Сведения, полученные с использованием Цифровой платформы МСП (</w:t>
      </w:r>
      <w:r>
        <w:t xml:space="preserve">мсп</w:t>
      </w:r>
      <w:r>
        <w:t xml:space="preserve">.р</w:t>
      </w:r>
      <w:r>
        <w:t xml:space="preserve">ф</w:t>
      </w:r>
      <w:r>
        <w:t xml:space="preserve">), подтверждающие создание личного кабинета на Цифровой платформе МСП (</w:t>
      </w:r>
      <w:r>
        <w:t xml:space="preserve">мсп.рф</w:t>
      </w:r>
      <w:r>
        <w:t xml:space="preserve">).</w:t>
      </w:r>
      <w:r/>
      <w:r/>
    </w:p>
    <w:p>
      <w:pPr>
        <w:pStyle w:val="1_631"/>
        <w:ind w:firstLine="540"/>
        <w:jc w:val="both"/>
        <w:spacing w:before="220"/>
      </w:pPr>
      <w:r>
        <w:t xml:space="preserve">1.5. Копии договоров, подтверждающих приобретение оборудования (договоры купли-продажи и (или) договоры поставки) в период с 2023 по 2025 годы включительно.</w:t>
      </w:r>
      <w:r/>
      <w:r/>
    </w:p>
    <w:p>
      <w:pPr>
        <w:pStyle w:val="1_631"/>
        <w:ind w:firstLine="540"/>
        <w:jc w:val="both"/>
        <w:spacing w:before="220"/>
      </w:pPr>
      <w:r>
        <w:t xml:space="preserve">1.6. </w:t>
      </w:r>
      <w:r>
        <w:t xml:space="preserve">Копии документов, подтверждающих осуществление расходов на приобретение оборудования в полном объеме в период с 2023 по 2025 годы включительно и постановку его на баланс (счета, платеж</w:t>
      </w:r>
      <w:r>
        <w:t xml:space="preserve">ные поручения, счета-фактуры, товарные накладные, акты приема-передачи оборудования или иные аналогичные документы, а также акты о приеме-передаче объекта основных средств (форма N ОС-1), инвентарные карточки учета объекта основных средств (форма N ОС-6)).</w:t>
      </w:r>
      <w:r/>
      <w:r/>
    </w:p>
    <w:p>
      <w:pPr>
        <w:pStyle w:val="1_631"/>
        <w:ind w:firstLine="540"/>
        <w:jc w:val="both"/>
        <w:spacing w:before="220"/>
      </w:pPr>
      <w:r>
        <w:t xml:space="preserve">Представление счета, указанного в платежном поручении в качестве основания для осуществления платежа, обязательно.</w:t>
      </w:r>
      <w:r/>
      <w:r/>
    </w:p>
    <w:p>
      <w:pPr>
        <w:pStyle w:val="1_631"/>
        <w:ind w:firstLine="540"/>
        <w:jc w:val="both"/>
        <w:spacing w:before="220"/>
      </w:pPr>
      <w:r>
        <w:t xml:space="preserve">Неполное заполнение актов о приеме-передаче объекта основных средств (форма N ОС-1), инвентарных карточек учета объекта основных средств (форма N ОС-6) не допускается.</w:t>
      </w:r>
      <w:r/>
      <w:r/>
    </w:p>
    <w:p>
      <w:pPr>
        <w:pStyle w:val="1_631"/>
        <w:ind w:firstLine="540"/>
        <w:jc w:val="both"/>
        <w:spacing w:before="220"/>
      </w:pPr>
      <w:r>
        <w:t xml:space="preserve">В случае приобретения оборудования по договор</w:t>
      </w:r>
      <w:r>
        <w:t xml:space="preserve">у финансовой аренды (лизинга) дополнительно представляется документ лизингодателя с указанием стоимости оборудования без учета процентов по лизинговым платежам и документ, подтверждающий осуществление расходов по договору финансовой аренды в полном объеме.</w:t>
      </w:r>
      <w:r/>
      <w:r/>
    </w:p>
    <w:p>
      <w:pPr>
        <w:pStyle w:val="1_631"/>
        <w:ind w:firstLine="540"/>
        <w:jc w:val="both"/>
        <w:spacing w:before="220"/>
      </w:pPr>
      <w:r>
        <w:t xml:space="preserve">1.7. Копии документов, подтверждающих отнесение поставщика оборудования к производителю, дилеру, </w:t>
      </w:r>
      <w:r>
        <w:t xml:space="preserve">субдилеру</w:t>
      </w:r>
      <w:r>
        <w:t xml:space="preserve"> или дистрибьютору оборудования (сертификат, выданный производителем оборудования, копия дилерского договора (соглашения), </w:t>
      </w:r>
      <w:r>
        <w:t xml:space="preserve">субдилерского</w:t>
      </w:r>
      <w:r>
        <w:t xml:space="preserve"> договора, дистрибьюторского договора или иные аналогичные документы).</w:t>
      </w:r>
      <w:r/>
      <w:r/>
    </w:p>
    <w:p>
      <w:pPr>
        <w:pStyle w:val="1_631"/>
        <w:ind w:firstLine="540"/>
        <w:jc w:val="both"/>
        <w:spacing w:before="220"/>
      </w:pPr>
      <w:r>
        <w:t xml:space="preserve">1.8. Копии документов на приобретенно</w:t>
      </w:r>
      <w:r>
        <w:t xml:space="preserve">е оборудование (технические паспорта, сертификаты соответствия, руководства по эксплуатации, инструкции по эксплуатации или иные аналогичные документы, а также фотографии оборудования, в том числе с изображением заводских (серийных) и инвентарных номеров).</w:t>
      </w:r>
      <w:r/>
      <w:r/>
    </w:p>
    <w:p>
      <w:pPr>
        <w:pStyle w:val="1_631"/>
        <w:ind w:firstLine="540"/>
        <w:jc w:val="both"/>
        <w:spacing w:before="220"/>
      </w:pPr>
      <w:r/>
      <w:bookmarkStart w:id="0" w:name="undefined"/>
      <w:r/>
      <w:bookmarkEnd w:id="0"/>
      <w:r>
        <w:t xml:space="preserve">1.9. </w:t>
      </w:r>
      <w:hyperlink w:tooltip="#P442" w:anchor="P442" w:history="1">
        <w:r>
          <w:rPr>
            <w:color w:val="0000ff"/>
          </w:rPr>
          <w:t xml:space="preserve">Бизнес-план</w:t>
        </w:r>
      </w:hyperlink>
      <w:r>
        <w:t xml:space="preserve"> проекта по форме согласно приложению N 1 к Порядку, включающий </w:t>
      </w:r>
      <w:r>
        <w:t xml:space="preserve">расчет показателей экономической, бюджетной и социальной эффективности приобретения оборудования в целях создания и расширения производства товаров (работ, услуг) на территории Белгородской области (с учетом обязатель</w:t>
      </w:r>
      <w:r>
        <w:t xml:space="preserve">ств в сл</w:t>
      </w:r>
      <w:r>
        <w:t xml:space="preserve">учае получения субсидии);</w:t>
      </w:r>
      <w:r/>
      <w:r/>
    </w:p>
    <w:p>
      <w:pPr>
        <w:pStyle w:val="1_631"/>
        <w:ind w:firstLine="540"/>
        <w:jc w:val="both"/>
        <w:spacing w:before="220"/>
      </w:pPr>
      <w:r/>
      <w:bookmarkStart w:id="0" w:name="undefined"/>
      <w:r/>
      <w:bookmarkEnd w:id="0"/>
      <w:r>
        <w:t xml:space="preserve">1.10. </w:t>
      </w:r>
      <w:hyperlink w:tooltip="#P703" w:anchor="P703" w:history="1">
        <w:r>
          <w:rPr>
            <w:color w:val="0000ff"/>
          </w:rPr>
          <w:t xml:space="preserve">Обязательство</w:t>
        </w:r>
      </w:hyperlink>
      <w:r>
        <w:t xml:space="preserve"> участника отбора по форме согласно приложению N 2 к Порядку:</w:t>
      </w:r>
      <w:r/>
      <w:r/>
    </w:p>
    <w:p>
      <w:pPr>
        <w:pStyle w:val="1_631"/>
        <w:ind w:firstLine="540"/>
        <w:jc w:val="both"/>
        <w:spacing w:before="220"/>
      </w:pPr>
      <w:r>
        <w:t xml:space="preserve">- обеспечить темп роста дохода на одного работника на уровне не менее 116,6 процента по истечении квартала, следующего за кварталом заключения соглашения, к уровню дохода на одного работника по итогам квартала, в котором заключено соглашение;</w:t>
      </w:r>
      <w:r/>
      <w:r/>
    </w:p>
    <w:p>
      <w:pPr>
        <w:pStyle w:val="1_631"/>
        <w:ind w:firstLine="540"/>
        <w:jc w:val="both"/>
        <w:spacing w:before="220"/>
      </w:pPr>
      <w:r>
        <w:t xml:space="preserve">- сохранить уровень дохода на одного работника с учетом темпа роста на уровне не менее 116,6 процента в течение 3 лет, следующих за кварталом выполнения обязательства по увеличению уровня доходов;</w:t>
      </w:r>
      <w:r/>
      <w:r/>
    </w:p>
    <w:p>
      <w:pPr>
        <w:pStyle w:val="1_631"/>
        <w:ind w:firstLine="540"/>
        <w:jc w:val="both"/>
        <w:spacing w:before="220"/>
      </w:pPr>
      <w:r>
        <w:t xml:space="preserve">- увеличить среднесписочную численность работников по итогам квартала, следующего за кварталом заключения соглашения;</w:t>
      </w:r>
      <w:r/>
      <w:r/>
    </w:p>
    <w:p>
      <w:pPr>
        <w:pStyle w:val="1_631"/>
        <w:ind w:firstLine="540"/>
        <w:jc w:val="both"/>
        <w:spacing w:before="220"/>
      </w:pPr>
      <w:r>
        <w:t xml:space="preserve">- сохранить среднесп</w:t>
      </w:r>
      <w:r>
        <w:t xml:space="preserve">исочную численность работников с учетом увеличения, осуществленного по истечении квартала, следующего за кварталом заключения соглашения, в течение 3 лет, следующих за кварталом выполнения обязательства по увеличению среднесписочной численности работников;</w:t>
      </w:r>
      <w:r/>
      <w:r/>
    </w:p>
    <w:p>
      <w:pPr>
        <w:pStyle w:val="1_631"/>
        <w:ind w:firstLine="540"/>
        <w:jc w:val="both"/>
        <w:spacing w:before="220"/>
      </w:pPr>
      <w:r>
        <w:t xml:space="preserve">- обеспечить темп роста налоговых отчислений в бюджеты всех уровней, осуществленных по итогам 2025 года, к налоговым отчислениям в бюджеты всех уровней, осуществленным по итогам 2024 года.</w:t>
      </w:r>
      <w:r/>
      <w:r/>
    </w:p>
    <w:p>
      <w:pPr>
        <w:pStyle w:val="1_631"/>
        <w:ind w:firstLine="540"/>
        <w:jc w:val="both"/>
        <w:spacing w:before="220"/>
      </w:pPr>
      <w:r>
        <w:t xml:space="preserve">1.11. </w:t>
      </w:r>
      <w:hyperlink w:tooltip="#P757" w:anchor="P757" w:history="1">
        <w:r>
          <w:rPr>
            <w:color w:val="0000ff"/>
          </w:rPr>
          <w:t xml:space="preserve">Согласие</w:t>
        </w:r>
      </w:hyperlink>
      <w:r>
        <w:t xml:space="preserve"> по форме согласно приложению N 3 к Порядку:</w:t>
      </w:r>
      <w:r/>
      <w:r/>
    </w:p>
    <w:p>
      <w:pPr>
        <w:pStyle w:val="1_631"/>
        <w:ind w:firstLine="540"/>
        <w:jc w:val="both"/>
        <w:spacing w:before="220"/>
      </w:pPr>
      <w:r>
        <w:t xml:space="preserve">- на сохранение в собственности приобретенного оборудования без права передачи в аренду (субаренду) в течение не менее 3 лет </w:t>
      </w:r>
      <w:r>
        <w:t xml:space="preserve">с даты заключения</w:t>
      </w:r>
      <w:r>
        <w:t xml:space="preserve"> соглашения;</w:t>
      </w:r>
      <w:r/>
      <w:r/>
    </w:p>
    <w:p>
      <w:pPr>
        <w:pStyle w:val="1_631"/>
        <w:ind w:firstLine="540"/>
        <w:jc w:val="both"/>
        <w:spacing w:before="220"/>
      </w:pPr>
      <w:r>
        <w:t xml:space="preserve">- на осуществление вида предпринимательской деятельности, указанного в заявке, предусмотренной </w:t>
      </w:r>
      <w:hyperlink w:tooltip="#P116" w:anchor="P116" w:history="1">
        <w:r>
          <w:rPr>
            <w:color w:val="0000ff"/>
          </w:rPr>
          <w:t xml:space="preserve">пунктом 1 раздела 2</w:t>
        </w:r>
      </w:hyperlink>
      <w:r>
        <w:t xml:space="preserve"> Порядка, и в бизнес-плане, предусмотренном </w:t>
      </w:r>
      <w:hyperlink w:tooltip="#P133" w:anchor="P133" w:history="1">
        <w:r>
          <w:rPr>
            <w:color w:val="0000ff"/>
          </w:rPr>
          <w:t xml:space="preserve">подпунктом 1.9</w:t>
        </w:r>
      </w:hyperlink>
      <w:r>
        <w:t xml:space="preserve"> настоящего пункта, в течение не менее 3 лет </w:t>
      </w:r>
      <w:r>
        <w:t xml:space="preserve">с даты заключения</w:t>
      </w:r>
      <w:r>
        <w:t xml:space="preserve"> соглашения;</w:t>
      </w:r>
      <w:r/>
      <w:r/>
    </w:p>
    <w:p>
      <w:pPr>
        <w:pStyle w:val="1_631"/>
        <w:ind w:firstLine="540"/>
        <w:jc w:val="both"/>
        <w:spacing w:before="220"/>
      </w:pPr>
      <w:r>
        <w:t xml:space="preserve">- на осуществление Министерством </w:t>
      </w:r>
      <w:r>
        <w:t xml:space="preserve">проверки соблюдения получателями субсидий порядка и условий предоставления субсидий, в том числе в части достижения результатов предоставления субсидий, а также проверки органами государственного финансового контроля Белгородской области в соответствии со </w:t>
      </w:r>
      <w:hyperlink r:id="rId8" w:tooltip="https://login.consultant.ru/link/?req=doc&amp;base=LAW&amp;n=503620&amp;dst=3704" w:history="1">
        <w:r>
          <w:rPr>
            <w:color w:val="0000ff"/>
          </w:rPr>
          <w:t xml:space="preserve">статьями 268.1</w:t>
        </w:r>
      </w:hyperlink>
      <w:r>
        <w:t xml:space="preserve"> и </w:t>
      </w:r>
      <w:hyperlink r:id="rId9" w:tooltip="https://login.consultant.ru/link/?req=doc&amp;base=LAW&amp;n=503620&amp;dst=3722" w:history="1">
        <w:r>
          <w:rPr>
            <w:color w:val="0000ff"/>
          </w:rPr>
          <w:t xml:space="preserve">269.2</w:t>
        </w:r>
      </w:hyperlink>
      <w:r>
        <w:t xml:space="preserve"> Бюджетного кодекса Российской Федерации;</w:t>
      </w:r>
      <w:r/>
      <w:r/>
    </w:p>
    <w:p>
      <w:pPr>
        <w:pStyle w:val="1_631"/>
        <w:ind w:firstLine="540"/>
        <w:jc w:val="both"/>
        <w:spacing w:before="220"/>
      </w:pPr>
      <w:r>
        <w:t xml:space="preserve">- на согласование новых условий соглашения или о расторжении соглашения при </w:t>
      </w:r>
      <w:r>
        <w:t xml:space="preserve">недостижении</w:t>
      </w:r>
      <w:r>
        <w:t xml:space="preserve"> согласия по новым условиям в случае уменьшения Министерству ранее доведенных лимитов бюджетных ассигнований, указанных в </w:t>
      </w:r>
      <w:hyperlink w:tooltip="#P73" w:anchor="P73" w:history="1">
        <w:r>
          <w:rPr>
            <w:color w:val="0000ff"/>
          </w:rPr>
          <w:t xml:space="preserve">пункте 1.4 раздела 1</w:t>
        </w:r>
      </w:hyperlink>
      <w:r>
        <w:t xml:space="preserve"> Порядка, приводящего к невозможности предоставления субсидии в размере, определенном соглашением.</w:t>
      </w:r>
      <w:r/>
      <w:r/>
    </w:p>
    <w:p>
      <w:pPr>
        <w:pStyle w:val="1_631"/>
        <w:ind w:firstLine="540"/>
        <w:jc w:val="both"/>
        <w:spacing w:before="220"/>
      </w:pPr>
      <w:r>
        <w:t xml:space="preserve">1.12. </w:t>
      </w:r>
      <w:hyperlink w:tooltip="#P797" w:anchor="P797" w:history="1">
        <w:r>
          <w:rPr>
            <w:color w:val="0000ff"/>
          </w:rPr>
          <w:t xml:space="preserve">Согласие</w:t>
        </w:r>
      </w:hyperlink>
      <w:r>
        <w:t xml:space="preserve"> на обработку персональных данных (для физического лица) по форме согласно приложению N 4 Порядку.</w:t>
      </w:r>
      <w:r/>
      <w:r/>
    </w:p>
    <w:p>
      <w:pPr>
        <w:pStyle w:val="1_631"/>
        <w:ind w:firstLine="540"/>
        <w:jc w:val="both"/>
        <w:spacing w:before="220"/>
      </w:pPr>
      <w:r>
        <w:t xml:space="preserve">1.13. </w:t>
      </w:r>
      <w:hyperlink w:tooltip="#P858" w:anchor="P858" w:history="1">
        <w:r>
          <w:rPr>
            <w:color w:val="0000ff"/>
          </w:rPr>
          <w:t xml:space="preserve">Справку</w:t>
        </w:r>
      </w:hyperlink>
      <w:r>
        <w:t xml:space="preserve"> о просроченной зад</w:t>
      </w:r>
      <w:r>
        <w:t xml:space="preserve">олженности по возврату в бюджет Белгородской области иных субсидий, бюджетных инвестиций, а также иной просроченной (неурегулированной) задолженности по денежным обязательствам перед бюджетом Белгородской области по форме согласно приложению N 5 к Порядку.</w:t>
      </w:r>
      <w:r/>
      <w:r/>
    </w:p>
    <w:p>
      <w:pPr>
        <w:pStyle w:val="1_631"/>
        <w:ind w:firstLine="540"/>
        <w:jc w:val="both"/>
        <w:spacing w:before="220"/>
      </w:pPr>
      <w:r>
        <w:t xml:space="preserve">1.14. Справку в произвольной форме о применяемом налоговом режиме за подписью руководителя участника отбора или представителя участника отбора, полномочия которого на осуществление действий от имени участника отбора подтверждены в соответствии с </w:t>
      </w:r>
      <w:hyperlink w:tooltip="#P117" w:anchor="P117" w:history="1">
        <w:r>
          <w:rPr>
            <w:color w:val="0000ff"/>
          </w:rPr>
          <w:t xml:space="preserve">подпунктом </w:t>
        </w:r>
        <w:r>
          <w:rPr>
            <w:color w:val="0000ff"/>
          </w:rPr>
          <w:t xml:space="preserve">1.1 пункта 1 раздела 2</w:t>
        </w:r>
      </w:hyperlink>
      <w:r>
        <w:t xml:space="preserve"> Порядка. Справка должна содержать реквизиты участника отбора (наименование (для индивидуального предпринимателя - Ф.И.О.), ИНН, КПП, юридический адрес, адрес местонахождения, контактный телефон), режим налогообложения и дату, с которой он применяется).</w:t>
      </w:r>
      <w:r/>
      <w:r/>
    </w:p>
    <w:p>
      <w:pPr>
        <w:pStyle w:val="1_631"/>
        <w:ind w:firstLine="540"/>
        <w:jc w:val="both"/>
        <w:spacing w:before="220"/>
      </w:pPr>
      <w:r>
        <w:t xml:space="preserve">1.15. Разрешительные докуме</w:t>
      </w:r>
      <w:r>
        <w:t xml:space="preserve">нты (лицензии, сертификаты, декларации соответствия и иные документы) на товары, произведенные под брендом Белгородской области, выданные в соответствии с законодательством Российской Федерации (для производителей товаров под брендом Белгородской области).</w:t>
      </w:r>
      <w:r/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  <w:style w:type="paragraph" w:styleId="1_631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cs="Calibri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login.consultant.ru/link/?req=doc&amp;base=LAW&amp;n=503620&amp;dst=3704" TargetMode="External"/><Relationship Id="rId9" Type="http://schemas.openxmlformats.org/officeDocument/2006/relationships/hyperlink" Target="https://login.consultant.ru/link/?req=doc&amp;base=LAW&amp;n=503620&amp;dst=3722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2025-05-05T12:48:52Z</dcterms:modified>
</cp:coreProperties>
</file>