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Минэкономразвития России от 28.11.2016 N 763</w:t>
              <w:br/>
              <w:t xml:space="preserve">(ред. от 17.06.2025)</w:t>
              <w:br/>
              <w:t xml:space="preserve">"Об утверждении требований к фондам содействия кредитованию (гарантийным фондам, фондам поручительств) и их деятельности"</w:t>
              <w:br/>
              <w:t xml:space="preserve">(Зарегистрировано в Минюсте России 30.12.2016 N 45078)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30 декабря 2016 г. N 45078</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ЭКОНОМИЧЕСКОГО РАЗВИТИЯ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28 ноября 2016 г. N 763</w:t>
      </w:r>
    </w:p>
    <w:p>
      <w:pPr>
        <w:pStyle w:val="2"/>
        <w:jc w:val="center"/>
      </w:pPr>
      <w:r>
        <w:rPr>
          <w:sz w:val="24"/>
        </w:rPr>
      </w:r>
    </w:p>
    <w:p>
      <w:pPr>
        <w:pStyle w:val="2"/>
        <w:jc w:val="center"/>
      </w:pPr>
      <w:r>
        <w:rPr>
          <w:sz w:val="24"/>
        </w:rPr>
        <w:t xml:space="preserve">ОБ УТВЕРЖДЕНИИ ТРЕБОВАНИЙ</w:t>
      </w:r>
    </w:p>
    <w:p>
      <w:pPr>
        <w:pStyle w:val="2"/>
        <w:jc w:val="center"/>
      </w:pPr>
      <w:r>
        <w:rPr>
          <w:sz w:val="24"/>
        </w:rPr>
        <w:t xml:space="preserve">К ФОНДАМ СОДЕЙСТВИЯ КРЕДИТОВАНИЮ (ГАРАНТИЙНЫМ ФОНДАМ,</w:t>
      </w:r>
    </w:p>
    <w:p>
      <w:pPr>
        <w:pStyle w:val="2"/>
        <w:jc w:val="center"/>
      </w:pPr>
      <w:r>
        <w:rPr>
          <w:sz w:val="24"/>
        </w:rPr>
        <w:t xml:space="preserve">ФОНДАМ ПОРУЧИТЕЛЬСТВ) И ИХ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06.12.2017 </w:t>
            </w:r>
            <w:hyperlink w:history="0" r:id="rId8"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color w:val="392c69"/>
              </w:rPr>
              <w:t xml:space="preserve">,</w:t>
            </w:r>
          </w:p>
          <w:p>
            <w:pPr>
              <w:pStyle w:val="0"/>
              <w:jc w:val="center"/>
            </w:pPr>
            <w:r>
              <w:rPr>
                <w:sz w:val="24"/>
                <w:color w:val="392c69"/>
              </w:rPr>
              <w:t xml:space="preserve">от 10.12.2018 </w:t>
            </w:r>
            <w:hyperlink w:history="0" r:id="rId9" w:tooltip="Приказ Минэкономразвития России от 10.12.2018 N 694 (ред. от 14.04.2025) &quot;О внесении изменений в некоторые приказы Минэкономразвития России в связи с принятием Федерального закона от 3 августа 2018 г.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Зарегистрировано в Минюсте России 17.01.2019 N 53390) {КонсультантПлюс}">
              <w:r>
                <w:rPr>
                  <w:sz w:val="24"/>
                  <w:color w:val="0000ff"/>
                </w:rPr>
                <w:t xml:space="preserve">N 694</w:t>
              </w:r>
            </w:hyperlink>
            <w:r>
              <w:rPr>
                <w:sz w:val="24"/>
                <w:color w:val="392c69"/>
              </w:rPr>
              <w:t xml:space="preserve">, от 14.03.2019 </w:t>
            </w:r>
            <w:hyperlink w:history="0" r:id="rId10" w:tooltip="Приказ Минэкономразвития России от 14.03.2019 N 125 (ред. от 23.11.2021)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КонсультантПлюс}">
              <w:r>
                <w:rPr>
                  <w:sz w:val="24"/>
                  <w:color w:val="0000ff"/>
                </w:rPr>
                <w:t xml:space="preserve">N 125</w:t>
              </w:r>
            </w:hyperlink>
            <w:r>
              <w:rPr>
                <w:sz w:val="24"/>
                <w:color w:val="392c69"/>
              </w:rPr>
              <w:t xml:space="preserve">, от 01.06.2020 </w:t>
            </w:r>
            <w:hyperlink w:history="0" r:id="rId11"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color w:val="392c69"/>
              </w:rPr>
              <w:t xml:space="preserve">,</w:t>
            </w:r>
          </w:p>
          <w:p>
            <w:pPr>
              <w:pStyle w:val="0"/>
              <w:jc w:val="center"/>
            </w:pPr>
            <w:r>
              <w:rPr>
                <w:sz w:val="24"/>
                <w:color w:val="392c69"/>
              </w:rPr>
              <w:t xml:space="preserve">от 07.09.2020 </w:t>
            </w:r>
            <w:hyperlink w:history="0" r:id="rId12"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color w:val="392c69"/>
              </w:rPr>
              <w:t xml:space="preserve">, от 24.09.2021 </w:t>
            </w:r>
            <w:hyperlink w:history="0" r:id="rId13"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N 564</w:t>
              </w:r>
            </w:hyperlink>
            <w:r>
              <w:rPr>
                <w:sz w:val="24"/>
                <w:color w:val="392c69"/>
              </w:rPr>
              <w:t xml:space="preserve">, от 31.10.2022 </w:t>
            </w:r>
            <w:hyperlink w:history="0" r:id="rId14"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N 591</w:t>
              </w:r>
            </w:hyperlink>
            <w:r>
              <w:rPr>
                <w:sz w:val="24"/>
                <w:color w:val="392c69"/>
              </w:rPr>
              <w:t xml:space="preserve">,</w:t>
            </w:r>
          </w:p>
          <w:p>
            <w:pPr>
              <w:pStyle w:val="0"/>
              <w:jc w:val="center"/>
            </w:pPr>
            <w:r>
              <w:rPr>
                <w:sz w:val="24"/>
                <w:color w:val="392c69"/>
              </w:rPr>
              <w:t xml:space="preserve">от 08.07.2024 </w:t>
            </w:r>
            <w:hyperlink w:history="0" r:id="rId15"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N 418</w:t>
              </w:r>
            </w:hyperlink>
            <w:r>
              <w:rPr>
                <w:sz w:val="24"/>
                <w:color w:val="392c69"/>
              </w:rPr>
              <w:t xml:space="preserve">, от 17.06.2025 </w:t>
            </w:r>
            <w:hyperlink w:history="0" r:id="rId16"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N 397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hyperlink w:history="0" r:id="rId17"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частью 5 статьи 15.2</w:t>
        </w:r>
      </w:hyperlink>
      <w:r>
        <w:rPr>
          <w:sz w:val="24"/>
        </w:rPr>
        <w:t xml:space="preserve"> Федерального закона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N 43, ст. 5084; 2008, N 30, ст. 3615, 3616; 2009, N 31, ст. 3923; N 52, ст. 6441; 2010, N 28, ст. 3553; 2011, N 27, ст. 3880; N 50, ст. 7343; 2013, N 27, ст. 3436, 3477; N 30, ст. 4071; N 52, ст. 6961; 2015, N 27, ст. 3947; 2016, N 1, ст. 28; N 26, ст. 3891; N 27, ст. 4198) и </w:t>
      </w:r>
      <w:hyperlink w:history="0" r:id="rId18" w:tooltip="Постановление Правительства РФ от 05.06.2008 N 437 (ред. от 14.11.2025) &quot;О Министерстве экономического развития Российской Федерации&quot; {КонсультантПлюс}">
        <w:r>
          <w:rPr>
            <w:sz w:val="24"/>
            <w:color w:val="0000ff"/>
          </w:rPr>
          <w:t xml:space="preserve">Положением</w:t>
        </w:r>
      </w:hyperlink>
      <w:r>
        <w:rPr>
          <w:sz w:val="24"/>
        </w:rPr>
        <w:t xml:space="preserve"> о Министерстве экономического развития Российской Федерации, утвержденным постановлением Правительства Российской Федерации от 5 июня 2008 г. N 437 (Собрание законодательства Российской Федерации, 2008, N 24, ст. 2867; N 46, ст. 5337; 2009, N 3, ст. 378; N 18, ст. 2257; N 19, ст. 2344; N 25, ст. 3052; N 26, ст. 3190; N 38, ст. 4500; N 41, ст. 4777; N 46, ст. 5488; 2010, N 5, ст. 532; N 9, ст. 960; N 10, ст. 1085; N 19, ст. 2324; N 21, ст. 2602; N 26, ст. 3350; N 40, ст. 5068; N 41, ст. 5240; N 45, ст. 5860; N 52, ст. 7104; 2011, N 6, ст. 888; N 9, ст. 1251; N 12, ст. 1640; N 14, ст. 1935; N 15, ст. 2131; N 17, ст. 2411, 2424; N 32, ст. 4834; N 36, ст. 5149, 5151; N 39, ст. 5485; N 43, ст. 6079; N 46, ст. 6527; 2012, N 1, ст. 170, 177; N 13, ст. 1531; N 19, ст. 2436, 2444; N 27, ст. 3745, 3766; N 37, ст. 5001; N 39, ст. 5284; N 51, ст. 7236; N 52, ст. 7491; N 53, ст. 7943; 2013, N 5, ст. 391; N 14, ст. 1705; N 33, ст. 4386; N 35, ст. 4514; N 36, ст. 4578; N 45, ст. 5822; N 47, ст. 6120; N 50, ст. 6606; N 52, ст. 7217; 2014, N 6, ст. 584; N 15, ст. 1750; N 16, ст. 1900; N 21, ст. 2712; N 37, ст. 4954; N 40, ст. 5426; N 42, ст. 5757; N 44, ст. 6072; N 48, ст. 6871; N 49, ст. 6957, 7100; N 50, ст. 7123; N 51, ст. 7446; 2015, N 1, ст. 219; N 6, ст. 965; N 7, ст. 1046; N 16, ст. 2388; N 20, ст. 2920; N 22, ст. 3230; N 24, ст. 3479; N 30, ст. 4589; N 36, ст. 5050; N 41, ст. 5671; N 43, ст. 5977; N 44, ст. 6140; N 46, ст. 6377, 6388; 2016, N 2, ст. 325, 336; N 5, ст. 697; N 7, ст. 994; N 17, ст. 2409, 2410; N 23, ст. 3312; N 28, ст. 4741; N 29, ст. 4822; N 31, ст. 5013; N 35, ст. 5332; N 42, ст. 5943; N 43, ст. 6029; N 45, ст. 6273), приказываю:</w:t>
      </w:r>
    </w:p>
    <w:p>
      <w:pPr>
        <w:pStyle w:val="0"/>
        <w:spacing w:before="240" w:lineRule="auto"/>
        <w:ind w:firstLine="540"/>
        <w:jc w:val="both"/>
      </w:pPr>
      <w:r>
        <w:rPr>
          <w:sz w:val="24"/>
        </w:rPr>
        <w:t xml:space="preserve">1. Утвердить прилагаемые </w:t>
      </w:r>
      <w:hyperlink w:history="0" w:anchor="P35" w:tooltip="ТРЕБОВАНИЯ">
        <w:r>
          <w:rPr>
            <w:sz w:val="24"/>
            <w:color w:val="0000ff"/>
          </w:rPr>
          <w:t xml:space="preserve">требования</w:t>
        </w:r>
      </w:hyperlink>
      <w:r>
        <w:rPr>
          <w:sz w:val="24"/>
        </w:rPr>
        <w:t xml:space="preserve"> к фондам содействия кредитованию (гарантийным фондам, фондам поручительств) и их деятельности.</w:t>
      </w:r>
    </w:p>
    <w:p>
      <w:pPr>
        <w:pStyle w:val="0"/>
        <w:spacing w:before="240" w:lineRule="auto"/>
        <w:ind w:firstLine="540"/>
        <w:jc w:val="both"/>
      </w:pPr>
      <w:r>
        <w:rPr>
          <w:sz w:val="24"/>
        </w:rPr>
        <w:t xml:space="preserve">2. Утратил силу. - </w:t>
      </w:r>
      <w:hyperlink w:history="0" r:id="rId19" w:tooltip="Приказ Минэкономразвития России от 14.03.2019 N 125 (ред. от 23.11.2021)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КонсультантПлюс}">
        <w:r>
          <w:rPr>
            <w:sz w:val="24"/>
            <w:color w:val="0000ff"/>
          </w:rPr>
          <w:t xml:space="preserve">Приказ</w:t>
        </w:r>
      </w:hyperlink>
      <w:r>
        <w:rPr>
          <w:sz w:val="24"/>
        </w:rPr>
        <w:t xml:space="preserve"> Минэкономразвития России от 14.03.2019 N 125.</w:t>
      </w:r>
    </w:p>
    <w:p>
      <w:pPr>
        <w:pStyle w:val="0"/>
        <w:spacing w:before="240" w:lineRule="auto"/>
        <w:ind w:firstLine="540"/>
        <w:jc w:val="both"/>
      </w:pPr>
      <w:r>
        <w:rPr>
          <w:sz w:val="24"/>
        </w:rPr>
        <w:t xml:space="preserve">3. Установить, что положения настоящего приказа, касающиеся оказания поддержки физическим лицам, применяющим специальный налоговый режим "Налог на профессиональный доход", применяются в течение срока проведения эксперимента, установленного Федеральным </w:t>
      </w:r>
      <w:hyperlink w:history="0" r:id="rId20"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законом</w:t>
        </w:r>
      </w:hyperlink>
      <w:r>
        <w:rPr>
          <w:sz w:val="24"/>
        </w:rPr>
        <w:t xml:space="preserve"> от 27 ноября 2018 г. N 422-ФЗ "О проведении эксперимента по установлению специального налогового режима "Налог на профессиональный доход" (Собрание законодательства Российской Федерации, 2018, N 49, ст. 7494; 2020, N 24, ст. 3740).</w:t>
      </w:r>
    </w:p>
    <w:p>
      <w:pPr>
        <w:pStyle w:val="0"/>
        <w:jc w:val="both"/>
      </w:pPr>
      <w:r>
        <w:rPr>
          <w:sz w:val="24"/>
        </w:rPr>
        <w:t xml:space="preserve">(п. 3 введен </w:t>
      </w:r>
      <w:hyperlink w:history="0" r:id="rId21"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Приказом</w:t>
        </w:r>
      </w:hyperlink>
      <w:r>
        <w:rPr>
          <w:sz w:val="24"/>
        </w:rPr>
        <w:t xml:space="preserve"> Минэкономразвития России от 07.09.2020 N 573)</w:t>
      </w:r>
    </w:p>
    <w:p>
      <w:pPr>
        <w:pStyle w:val="0"/>
        <w:jc w:val="both"/>
      </w:pPr>
      <w:r>
        <w:rPr>
          <w:sz w:val="24"/>
        </w:rPr>
      </w:r>
    </w:p>
    <w:p>
      <w:pPr>
        <w:pStyle w:val="0"/>
        <w:jc w:val="right"/>
      </w:pPr>
      <w:r>
        <w:rPr>
          <w:sz w:val="24"/>
        </w:rPr>
        <w:t xml:space="preserve">Врио Министра</w:t>
      </w:r>
    </w:p>
    <w:p>
      <w:pPr>
        <w:pStyle w:val="0"/>
        <w:jc w:val="right"/>
      </w:pPr>
      <w:r>
        <w:rPr>
          <w:sz w:val="24"/>
        </w:rPr>
        <w:t xml:space="preserve">Е.И.ЕЛИН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Минэкономразвития России</w:t>
      </w:r>
    </w:p>
    <w:p>
      <w:pPr>
        <w:pStyle w:val="0"/>
        <w:jc w:val="right"/>
      </w:pPr>
      <w:r>
        <w:rPr>
          <w:sz w:val="24"/>
        </w:rPr>
        <w:t xml:space="preserve">от 28 ноября 2016 г. N 763</w:t>
      </w:r>
    </w:p>
    <w:p>
      <w:pPr>
        <w:pStyle w:val="0"/>
        <w:jc w:val="both"/>
      </w:pPr>
      <w:r>
        <w:rPr>
          <w:sz w:val="24"/>
        </w:rPr>
      </w:r>
    </w:p>
    <w:bookmarkStart w:id="35" w:name="P35"/>
    <w:bookmarkEnd w:id="35"/>
    <w:p>
      <w:pPr>
        <w:pStyle w:val="2"/>
        <w:jc w:val="center"/>
      </w:pPr>
      <w:r>
        <w:rPr>
          <w:sz w:val="24"/>
        </w:rPr>
        <w:t xml:space="preserve">ТРЕБОВАНИЯ</w:t>
      </w:r>
    </w:p>
    <w:p>
      <w:pPr>
        <w:pStyle w:val="2"/>
        <w:jc w:val="center"/>
      </w:pPr>
      <w:r>
        <w:rPr>
          <w:sz w:val="24"/>
        </w:rPr>
        <w:t xml:space="preserve">К ФОНДАМ СОДЕЙСТВИЯ КРЕДИТОВАНИЮ (ГАРАНТИЙНЫМ ФОНДАМ,</w:t>
      </w:r>
    </w:p>
    <w:p>
      <w:pPr>
        <w:pStyle w:val="2"/>
        <w:jc w:val="center"/>
      </w:pPr>
      <w:r>
        <w:rPr>
          <w:sz w:val="24"/>
        </w:rPr>
        <w:t xml:space="preserve">ФОНДАМ ПОРУЧИТЕЛЬСТВ) И ИХ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06.12.2017 </w:t>
            </w:r>
            <w:hyperlink w:history="0" r:id="rId22"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color w:val="392c69"/>
              </w:rPr>
              <w:t xml:space="preserve">,</w:t>
            </w:r>
          </w:p>
          <w:p>
            <w:pPr>
              <w:pStyle w:val="0"/>
              <w:jc w:val="center"/>
            </w:pPr>
            <w:r>
              <w:rPr>
                <w:sz w:val="24"/>
                <w:color w:val="392c69"/>
              </w:rPr>
              <w:t xml:space="preserve">от 10.12.2018 </w:t>
            </w:r>
            <w:hyperlink w:history="0" r:id="rId23" w:tooltip="Приказ Минэкономразвития России от 10.12.2018 N 694 (ред. от 14.04.2025) &quot;О внесении изменений в некоторые приказы Минэкономразвития России в связи с принятием Федерального закона от 3 августа 2018 г.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Зарегистрировано в Минюсте России 17.01.2019 N 53390) {КонсультантПлюс}">
              <w:r>
                <w:rPr>
                  <w:sz w:val="24"/>
                  <w:color w:val="0000ff"/>
                </w:rPr>
                <w:t xml:space="preserve">N 694</w:t>
              </w:r>
            </w:hyperlink>
            <w:r>
              <w:rPr>
                <w:sz w:val="24"/>
                <w:color w:val="392c69"/>
              </w:rPr>
              <w:t xml:space="preserve">, от 01.06.2020 </w:t>
            </w:r>
            <w:hyperlink w:history="0" r:id="rId24"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color w:val="392c69"/>
              </w:rPr>
              <w:t xml:space="preserve">, от 07.09.2020 </w:t>
            </w:r>
            <w:hyperlink w:history="0" r:id="rId25"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color w:val="392c69"/>
              </w:rPr>
              <w:t xml:space="preserve">,</w:t>
            </w:r>
          </w:p>
          <w:p>
            <w:pPr>
              <w:pStyle w:val="0"/>
              <w:jc w:val="center"/>
            </w:pPr>
            <w:r>
              <w:rPr>
                <w:sz w:val="24"/>
                <w:color w:val="392c69"/>
              </w:rPr>
              <w:t xml:space="preserve">от 24.09.2021 </w:t>
            </w:r>
            <w:hyperlink w:history="0" r:id="rId26"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N 564</w:t>
              </w:r>
            </w:hyperlink>
            <w:r>
              <w:rPr>
                <w:sz w:val="24"/>
                <w:color w:val="392c69"/>
              </w:rPr>
              <w:t xml:space="preserve">, от 31.10.2022 </w:t>
            </w:r>
            <w:hyperlink w:history="0" r:id="rId27"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N 591</w:t>
              </w:r>
            </w:hyperlink>
            <w:r>
              <w:rPr>
                <w:sz w:val="24"/>
                <w:color w:val="392c69"/>
              </w:rPr>
              <w:t xml:space="preserve">, от 08.07.2024 </w:t>
            </w:r>
            <w:hyperlink w:history="0" r:id="rId28"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N 418</w:t>
              </w:r>
            </w:hyperlink>
            <w:r>
              <w:rPr>
                <w:sz w:val="24"/>
                <w:color w:val="392c69"/>
              </w:rPr>
              <w:t xml:space="preserve">,</w:t>
            </w:r>
          </w:p>
          <w:p>
            <w:pPr>
              <w:pStyle w:val="0"/>
              <w:jc w:val="center"/>
            </w:pPr>
            <w:r>
              <w:rPr>
                <w:sz w:val="24"/>
                <w:color w:val="392c69"/>
              </w:rPr>
              <w:t xml:space="preserve">от 17.06.2025 </w:t>
            </w:r>
            <w:hyperlink w:history="0" r:id="rId29"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N 397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1.1. Настоящие требования к фондам содействия кредитованию (гарантийным фондам, фондам поручительств) (далее - региональная гарантийная организация, РГО) и их деятельности (далее - Требования) устанавливаются в соответствии с </w:t>
      </w:r>
      <w:hyperlink w:history="0" r:id="rId30"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частью 5 статьи 15.2</w:t>
        </w:r>
      </w:hyperlink>
      <w:r>
        <w:rPr>
          <w:sz w:val="24"/>
        </w:rPr>
        <w:t xml:space="preserve"> Федерального закона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N 43, ст. 5084; 2008, N 30, ст. 3615, 3616; 2009, N 31, ст. 3923; N 52, ст. 6441; 2010, N 28, ст. 3553; 2011, N 27, ст. 3880; N 50, ст. 7343; 2013, N 27, ст. 3436, 3477; N 30, ст. 4071; N 52, ст. 6961; 2015, N 27, ст. 3947; 2016, N 1, ст. 28; N 26, ст. 3891; N 27, ст. 4198) (далее - Федеральный закон N 209-ФЗ), за исключением требований к формам отчетов о деятельности региональных гарантийных организаций и порядку предоставления указанных отчетов.</w:t>
      </w:r>
    </w:p>
    <w:p>
      <w:pPr>
        <w:pStyle w:val="0"/>
        <w:jc w:val="both"/>
      </w:pPr>
      <w:r>
        <w:rPr>
          <w:sz w:val="24"/>
        </w:rPr>
      </w:r>
    </w:p>
    <w:p>
      <w:pPr>
        <w:pStyle w:val="2"/>
        <w:outlineLvl w:val="1"/>
        <w:jc w:val="center"/>
      </w:pPr>
      <w:r>
        <w:rPr>
          <w:sz w:val="24"/>
        </w:rPr>
        <w:t xml:space="preserve">II. Общие требования к РГО</w:t>
      </w:r>
    </w:p>
    <w:p>
      <w:pPr>
        <w:pStyle w:val="0"/>
        <w:jc w:val="both"/>
      </w:pPr>
      <w:r>
        <w:rPr>
          <w:sz w:val="24"/>
        </w:rPr>
      </w:r>
    </w:p>
    <w:p>
      <w:pPr>
        <w:pStyle w:val="0"/>
        <w:ind w:firstLine="540"/>
        <w:jc w:val="both"/>
      </w:pPr>
      <w:r>
        <w:rPr>
          <w:sz w:val="24"/>
        </w:rPr>
        <w:t xml:space="preserve">2.1. В целях осуществления деятельности, направленной на обеспечение доступа субъектов малого и среднего предпринимательства (далее - субъекты МСП) и (или) организаций инфраструктуры поддержки субъектов МСП (далее - организации инфраструктуры поддержки), а также физических лиц, применяющих специальный налоговый режим "Налог на профессиональный доход",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МСП и (или) организаций инфраструктуры поддержки, а также физических лиц, применяющих специальный налоговый режим "Налог на профессиональный доход" (далее - деятельность по предоставлению поручительств и (или) независимых гарантий), РГО должна сформировать гарантийный капитал за счет средств бюджетов всех уровней (за исключением денежных средств на исполнение обязательств РГО по поручительствам, предоставленным в целях обеспечения исполнения обязательств субъектов МСП, а также физических лиц, применяющих специальный налоговый режим "Налог на профессиональный доход", основанных на кредитных договорах, договорах займа, договорах финансовой аренды (лизинга), договорах о предоставлении банковской гарантии и иных договорах, и доходов от размещения таких средств в кредитных организациях (далее - денежные средства на исполнение обязательств), финансового результата от деятельности РГО, иных целевых поступлений.</w:t>
      </w:r>
    </w:p>
    <w:p>
      <w:pPr>
        <w:pStyle w:val="0"/>
        <w:jc w:val="both"/>
      </w:pPr>
      <w:r>
        <w:rPr>
          <w:sz w:val="24"/>
        </w:rPr>
        <w:t xml:space="preserve">(в ред. Приказов Минэкономразвития России от 07.09.2020 </w:t>
      </w:r>
      <w:hyperlink w:history="0" r:id="rId31"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 от 24.09.2021 </w:t>
      </w:r>
      <w:hyperlink w:history="0" r:id="rId32"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N 564</w:t>
        </w:r>
      </w:hyperlink>
      <w:r>
        <w:rPr>
          <w:sz w:val="24"/>
        </w:rPr>
        <w:t xml:space="preserve">, от 08.07.2024 </w:t>
      </w:r>
      <w:hyperlink w:history="0" r:id="rId33"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N 418</w:t>
        </w:r>
      </w:hyperlink>
      <w:r>
        <w:rPr>
          <w:sz w:val="24"/>
        </w:rPr>
        <w:t xml:space="preserve">)</w:t>
      </w:r>
    </w:p>
    <w:bookmarkStart w:id="52" w:name="P52"/>
    <w:bookmarkEnd w:id="52"/>
    <w:p>
      <w:pPr>
        <w:pStyle w:val="0"/>
        <w:spacing w:before="240" w:lineRule="auto"/>
        <w:ind w:firstLine="540"/>
        <w:jc w:val="both"/>
      </w:pPr>
      <w:r>
        <w:rPr>
          <w:sz w:val="24"/>
        </w:rPr>
        <w:t xml:space="preserve">Размер гарантийного капитала РГО должен устанавливаться по состоянию на начало отчетного периода (квартал, год) на уровне стоимости чистых активов РГО по данным бухгалтерской (финансовой) и (или) управленческой отчетности РГО на начало соответствующего отчетного периода (квартал, год) и должен определяться как разность между величиной принимаемых к расчету активов и величиной принимаемых к расчету обязательств с учетом необходимости обеспечения ведения самостоятельного учета средств целевого финансирования, предоставленных из бюджетов всех уровней для осуществления деятельности, связанной с предоставлением поручительств и (или) независимых гарантий, и утверждаться высшим или иным уполномоченным органом управления РГО.</w:t>
      </w:r>
    </w:p>
    <w:p>
      <w:pPr>
        <w:pStyle w:val="0"/>
        <w:jc w:val="both"/>
      </w:pPr>
      <w:r>
        <w:rPr>
          <w:sz w:val="24"/>
        </w:rPr>
        <w:t xml:space="preserve">(в ред. Приказов Минэкономразвития России от 24.09.2021 </w:t>
      </w:r>
      <w:hyperlink w:history="0" r:id="rId34"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N 564</w:t>
        </w:r>
      </w:hyperlink>
      <w:r>
        <w:rPr>
          <w:sz w:val="24"/>
        </w:rPr>
        <w:t xml:space="preserve">, от 08.07.2024 </w:t>
      </w:r>
      <w:hyperlink w:history="0" r:id="rId35"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N 418</w:t>
        </w:r>
      </w:hyperlink>
      <w:r>
        <w:rPr>
          <w:sz w:val="24"/>
        </w:rPr>
        <w:t xml:space="preserve">)</w:t>
      </w:r>
    </w:p>
    <w:p>
      <w:pPr>
        <w:pStyle w:val="0"/>
        <w:spacing w:before="240" w:lineRule="auto"/>
        <w:ind w:firstLine="540"/>
        <w:jc w:val="both"/>
      </w:pPr>
      <w:r>
        <w:rPr>
          <w:sz w:val="24"/>
        </w:rPr>
        <w:t xml:space="preserve">В случае учета средств целевого финансирования, полученных РГО в целях осуществления деятельности по предоставлению поручительств и (или) независимых гарантий, в составе доходов будущих периодов стоимость чистых активов РГО должна быть увеличена на сумму таких доходов будущих периодов.</w:t>
      </w:r>
    </w:p>
    <w:p>
      <w:pPr>
        <w:pStyle w:val="0"/>
        <w:jc w:val="both"/>
      </w:pPr>
      <w:r>
        <w:rPr>
          <w:sz w:val="24"/>
        </w:rPr>
        <w:t xml:space="preserve">(п. 2.1 в ред. </w:t>
      </w:r>
      <w:hyperlink w:history="0" r:id="rId36"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Приказа</w:t>
        </w:r>
      </w:hyperlink>
      <w:r>
        <w:rPr>
          <w:sz w:val="24"/>
        </w:rPr>
        <w:t xml:space="preserve"> Минэкономразвития России от 01.06.2020 N 323)</w:t>
      </w:r>
    </w:p>
    <w:p>
      <w:pPr>
        <w:pStyle w:val="0"/>
        <w:spacing w:before="240" w:lineRule="auto"/>
        <w:ind w:firstLine="540"/>
        <w:jc w:val="both"/>
      </w:pPr>
      <w:r>
        <w:rPr>
          <w:sz w:val="24"/>
        </w:rPr>
        <w:t xml:space="preserve">2.2. РГО в целях стратегического обеспечения деятельности по предоставлению поручительств и (или) независимых гарантий разрабатывает программу деятельности РГО на трехлетний период, включающую:</w:t>
      </w:r>
    </w:p>
    <w:p>
      <w:pPr>
        <w:pStyle w:val="0"/>
        <w:spacing w:before="240" w:lineRule="auto"/>
        <w:ind w:firstLine="540"/>
        <w:jc w:val="both"/>
      </w:pPr>
      <w:r>
        <w:rPr>
          <w:sz w:val="24"/>
        </w:rPr>
        <w:t xml:space="preserve">1) анализ деятельности РГО;</w:t>
      </w:r>
    </w:p>
    <w:p>
      <w:pPr>
        <w:pStyle w:val="0"/>
        <w:spacing w:before="240" w:lineRule="auto"/>
        <w:ind w:firstLine="540"/>
        <w:jc w:val="both"/>
      </w:pPr>
      <w:r>
        <w:rPr>
          <w:sz w:val="24"/>
        </w:rPr>
        <w:t xml:space="preserve">2) ежегодные целевые значения ключевых показателей эффективности;</w:t>
      </w:r>
    </w:p>
    <w:p>
      <w:pPr>
        <w:pStyle w:val="0"/>
        <w:spacing w:before="240" w:lineRule="auto"/>
        <w:ind w:firstLine="540"/>
        <w:jc w:val="both"/>
      </w:pPr>
      <w:r>
        <w:rPr>
          <w:sz w:val="24"/>
        </w:rPr>
        <w:t xml:space="preserve">3) мероприятия по продвижению гарантийных продуктов, расширению партнерской сети и позиционированию РГО;</w:t>
      </w:r>
    </w:p>
    <w:p>
      <w:pPr>
        <w:pStyle w:val="0"/>
        <w:spacing w:before="240" w:lineRule="auto"/>
        <w:ind w:firstLine="540"/>
        <w:jc w:val="both"/>
      </w:pPr>
      <w:r>
        <w:rPr>
          <w:sz w:val="24"/>
        </w:rPr>
        <w:t xml:space="preserve">4) комплекс мероприятий по достижению целевых значений ключевых показателей эффективности.</w:t>
      </w:r>
    </w:p>
    <w:p>
      <w:pPr>
        <w:pStyle w:val="0"/>
        <w:spacing w:before="240" w:lineRule="auto"/>
        <w:ind w:firstLine="540"/>
        <w:jc w:val="both"/>
      </w:pPr>
      <w:r>
        <w:rPr>
          <w:sz w:val="24"/>
        </w:rPr>
        <w:t xml:space="preserve">Программа деятельности РГО на трехлетний период утверждается высшим или иным уполномоченным органом управления РГО.</w:t>
      </w:r>
    </w:p>
    <w:p>
      <w:pPr>
        <w:pStyle w:val="0"/>
        <w:spacing w:before="240" w:lineRule="auto"/>
        <w:ind w:firstLine="540"/>
        <w:jc w:val="both"/>
      </w:pPr>
      <w:r>
        <w:rPr>
          <w:sz w:val="24"/>
        </w:rPr>
        <w:t xml:space="preserve">2.3. Ключевыми показателями эффективности деятельности РГО являются:</w:t>
      </w:r>
    </w:p>
    <w:p>
      <w:pPr>
        <w:pStyle w:val="0"/>
        <w:spacing w:before="240" w:lineRule="auto"/>
        <w:ind w:firstLine="540"/>
        <w:jc w:val="both"/>
      </w:pPr>
      <w:r>
        <w:rPr>
          <w:sz w:val="24"/>
        </w:rPr>
        <w:t xml:space="preserve">1) годовой размер поручительств и (или) независимых гарантий, предоставленных субъектам МСП и организациям инфраструктуры поддержки, а также физическим лицам, применяющим специальный налоговый режим "Налог на профессиональный доход", с учетом поручительств и (или) независимых гарантий, выданных в рамках согарантий в части, обеспеченной поручительствами и (или) независимыми гарантиями РГО (при наличии сделок по согарантии);</w:t>
      </w:r>
    </w:p>
    <w:p>
      <w:pPr>
        <w:pStyle w:val="0"/>
        <w:jc w:val="both"/>
      </w:pPr>
      <w:r>
        <w:rPr>
          <w:sz w:val="24"/>
        </w:rPr>
        <w:t xml:space="preserve">(в ред. Приказов Минэкономразвития России от 01.06.2020 </w:t>
      </w:r>
      <w:hyperlink w:history="0" r:id="rId37"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rPr>
        <w:t xml:space="preserve">, от 07.09.2020 </w:t>
      </w:r>
      <w:hyperlink w:history="0" r:id="rId38"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w:t>
      </w:r>
    </w:p>
    <w:p>
      <w:pPr>
        <w:pStyle w:val="0"/>
        <w:spacing w:before="240" w:lineRule="auto"/>
        <w:ind w:firstLine="540"/>
        <w:jc w:val="both"/>
      </w:pPr>
      <w:r>
        <w:rPr>
          <w:sz w:val="24"/>
        </w:rPr>
        <w:t xml:space="preserve">2) годовой объем привлеченного субъектами МСП и организациями инфраструктуры поддержки, а также физическими лицами, применяющими специальный налоговый режим "Налог на профессиональный доход", финансирования с помощью предоставленных РГО поручительств и (или) независимых гарантий, с учетом средств, привлеченных по поручительствам и (или) независимым гарантиям в рамках согарантий в части, обеспеченной поручительствами и (или) независимыми гарантиями РГО (при наличии сделок по согарантии);</w:t>
      </w:r>
    </w:p>
    <w:p>
      <w:pPr>
        <w:pStyle w:val="0"/>
        <w:jc w:val="both"/>
      </w:pPr>
      <w:r>
        <w:rPr>
          <w:sz w:val="24"/>
        </w:rPr>
        <w:t xml:space="preserve">(в ред. </w:t>
      </w:r>
      <w:hyperlink w:history="0" r:id="rId39"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3) отношение действующих поручительств и (или) независимых гарантий РГО, рассчитанных с учетом поручительств и (или) независимых гарантий, предоставленных субъектам МСП и организациям инфраструктуры поддержки, а также физическим лицам, применяющим специальный налоговый режим "Налог на профессиональный доход", в рамках согарантий в части, обеспеченной поручительствами и (или) независимыми гарантиями РГО (при наличии сделок по согарантии), к сумме ее гарантийного капитала на отчетную дату;</w:t>
      </w:r>
    </w:p>
    <w:p>
      <w:pPr>
        <w:pStyle w:val="0"/>
        <w:jc w:val="both"/>
      </w:pPr>
      <w:r>
        <w:rPr>
          <w:sz w:val="24"/>
        </w:rPr>
        <w:t xml:space="preserve">(в ред. </w:t>
      </w:r>
      <w:hyperlink w:history="0" r:id="rId40"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4) результат от операционной и финансовой деятельности за год по основному виду деятельности РГО, рассчитанный по формуле, приведенной в </w:t>
      </w:r>
      <w:hyperlink w:history="0" w:anchor="P581" w:tooltip="ФОРМУЛА">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2.4. Предоставление поручительств и (или) независимых гарантий субъектам МСП, физическим лицам, применяющим специальный налоговый режим "Налог на профессиональный доход", и организациям инфраструктуры поддержки осуществляется РГО:</w:t>
      </w:r>
    </w:p>
    <w:p>
      <w:pPr>
        <w:pStyle w:val="0"/>
        <w:jc w:val="both"/>
      </w:pPr>
      <w:r>
        <w:rPr>
          <w:sz w:val="24"/>
        </w:rPr>
        <w:t xml:space="preserve">(в ред. </w:t>
      </w:r>
      <w:hyperlink w:history="0" r:id="rId41"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1) для обеспечения обязательств субъектов МСП, физических лиц, применяющих специальный налоговый режим "Налог на профессиональный доход", и (или) организаций инфраструктуры поддержки - участников закупок, осуществляемых в соответствии с Федеральным </w:t>
      </w:r>
      <w:hyperlink w:history="0" r:id="rId4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 N 223-ФЗ "О закупках товаров, работ, услуг отдельными видами юридических лиц" (Собрание законодательства Российской Федерации, 2011, N 30, ст. 4571; N 50, ст. 7343; 2012, N 53, ст. 7649; 2013, N 23, ст. 2873; N 27, ст. 3452; N 51, ст. 6699; N 52, ст. 6961; 2014, N 11, ст. 1091; 2015, N 1, ст. 11; N 27, ст. 3947, 3950, 4001; N 29, ст. 4375; 2016, N 15, ст. 2066; N 27, ст. 4169, 4254; 2017, N 1, ст. 15; N 24, ст. 3477) (далее - Закон о закупках) или Федеральным </w:t>
      </w:r>
      <w:hyperlink w:history="0" r:id="rId4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1393, 1418; N 14, ст. 2022; N 27, ст. 3979, 4001; N 29, ст. 4342, 4346, 4352, 4353, 4375; 2016, N 1, ст. 10, 89; N 11, ст. 1493; N 15, ст. 2058, 2066; N 23, ст. 3291; N 26, ст. 3872, 3890; N 27, ст. 4199, 4247, 4253, 4254, 4298; 2017, N 1, ст. 15, 30, 41; N 9, ст. 1277; N 14, ст. 1995, 2004; N 18, ст. 2660; N 24, ст. 3475, 3477; N 31, ст. 4747, 4760, 4780) (далее соответственно - Закон о контрактной системе, участники закупок);</w:t>
      </w:r>
    </w:p>
    <w:p>
      <w:pPr>
        <w:pStyle w:val="0"/>
        <w:jc w:val="both"/>
      </w:pPr>
      <w:r>
        <w:rPr>
          <w:sz w:val="24"/>
        </w:rPr>
        <w:t xml:space="preserve">(в ред. </w:t>
      </w:r>
      <w:hyperlink w:history="0" r:id="rId44"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2) по обязательствам субъектов МСП, физических лиц, применяющих специальный налоговый режим "Налог на профессиональный доход", и (или) организаций инфраструктуры поддержки,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(далее - Договоры), заключаемых с кредитными организациями, лизинговыми компаниями, микрофинансовыми и иными организациями (далее - финансовые организации), заключившими с РГО соглашения о сотрудничестве. РГО должна обеспечить наличие не менее 2 (двух) действующих соглашений с финансовыми организациями;</w:t>
      </w:r>
    </w:p>
    <w:p>
      <w:pPr>
        <w:pStyle w:val="0"/>
        <w:jc w:val="both"/>
      </w:pPr>
      <w:r>
        <w:rPr>
          <w:sz w:val="24"/>
        </w:rPr>
        <w:t xml:space="preserve">(в ред. Приказов Минэкономразвития России от 07.09.2020 </w:t>
      </w:r>
      <w:hyperlink w:history="0" r:id="rId45"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 от 24.09.2021 </w:t>
      </w:r>
      <w:hyperlink w:history="0" r:id="rId46"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N 564</w:t>
        </w:r>
      </w:hyperlink>
      <w:r>
        <w:rPr>
          <w:sz w:val="24"/>
        </w:rPr>
        <w:t xml:space="preserve">)</w:t>
      </w:r>
    </w:p>
    <w:p>
      <w:pPr>
        <w:pStyle w:val="0"/>
        <w:spacing w:before="240" w:lineRule="auto"/>
        <w:ind w:firstLine="540"/>
        <w:jc w:val="both"/>
      </w:pPr>
      <w:r>
        <w:rPr>
          <w:sz w:val="24"/>
        </w:rPr>
        <w:t xml:space="preserve">3) по обязательствам субъектов МСП и (или) организаций инфраструктуры поддержки, связанным с уплатой процентов по кредитным договорам, заключаемым с кредитными организациями, в отношении которых ранее поручительства и (или) независимые гарантии не предоставлялись, в случае введения режима повышенной готовности или режима чрезвычайной ситуации в соответствии с Федеральным </w:t>
      </w:r>
      <w:hyperlink w:history="0" r:id="rId47"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законом</w:t>
        </w:r>
      </w:hyperlink>
      <w:r>
        <w:rPr>
          <w:sz w:val="24"/>
        </w:rPr>
        <w:t xml:space="preserve"> от 21 декабря 1994 г. N 68-ФЗ "О защите населения и территорий от чрезвычайных ситуаций природного и техногенного характера" (Собрание законодательства Российской Федерации, 1994, N 35, ст. 3648; 2020, N 14, ст. 2028) (далее соответственно - режим повышенной готовности, режим чрезвычайной ситуации), в отношении территории, на которой указанные субъекты МСП и (или) организации инфраструктуры поддержки осуществляют свою деятельность. Предоставление поручительств и (или) независимых гарантий субъектам МСП и (или) организациям инфраструктуры поддержки осуществляется в отношении обязательств по уплате указанных процентов, возникающих в период действия режима повышенной готовности или режима чрезвычайной ситуации.</w:t>
      </w:r>
    </w:p>
    <w:p>
      <w:pPr>
        <w:pStyle w:val="0"/>
        <w:jc w:val="both"/>
      </w:pPr>
      <w:r>
        <w:rPr>
          <w:sz w:val="24"/>
        </w:rPr>
        <w:t xml:space="preserve">(пп. 3 введен </w:t>
      </w:r>
      <w:hyperlink w:history="0" r:id="rId48"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Приказом</w:t>
        </w:r>
      </w:hyperlink>
      <w:r>
        <w:rPr>
          <w:sz w:val="24"/>
        </w:rPr>
        <w:t xml:space="preserve"> Минэкономразвития России от 01.06.2020 N 323)</w:t>
      </w:r>
    </w:p>
    <w:p>
      <w:pPr>
        <w:pStyle w:val="0"/>
        <w:jc w:val="both"/>
      </w:pPr>
      <w:r>
        <w:rPr>
          <w:sz w:val="24"/>
        </w:rPr>
        <w:t xml:space="preserve">(п. 2.4 в ред. </w:t>
      </w:r>
      <w:hyperlink w:history="0" r:id="rId49"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Приказа</w:t>
        </w:r>
      </w:hyperlink>
      <w:r>
        <w:rPr>
          <w:sz w:val="24"/>
        </w:rPr>
        <w:t xml:space="preserve"> Минэкономразвития России от 06.12.2017 N 651)</w:t>
      </w:r>
    </w:p>
    <w:p>
      <w:pPr>
        <w:pStyle w:val="0"/>
        <w:spacing w:before="240" w:lineRule="auto"/>
        <w:ind w:firstLine="540"/>
        <w:jc w:val="both"/>
      </w:pPr>
      <w:r>
        <w:rPr>
          <w:sz w:val="24"/>
        </w:rPr>
        <w:t xml:space="preserve">2.5. РГО использует денежные средства, предоставленные из бюджетов всех уровней бюджетной системы Российской Федерации, для приобретения финансовых активов с учетом принципов ликвидности, возвратности, доходности, а также для исполнения обязательств по заключенным договорам поручительства и (или) договорам независимых гарантий.</w:t>
      </w:r>
    </w:p>
    <w:p>
      <w:pPr>
        <w:pStyle w:val="0"/>
        <w:spacing w:before="240" w:lineRule="auto"/>
        <w:ind w:firstLine="540"/>
        <w:jc w:val="both"/>
      </w:pPr>
      <w:r>
        <w:rPr>
          <w:sz w:val="24"/>
        </w:rPr>
        <w:t xml:space="preserve">2.6. РГО планирует, осуществляет текущую деятельность с учетом того, что источником исполнения обязательств РГО по выданным поручительствам и (или) независимым гарантиям, пополнения гарантийного капитала, покрытия административно-хозяйственных расходов, покрытия расходов, связанных с обеспечением условий размещения временно свободных средств РГО, уплаты налогов, связанных с получением дохода от размещения временно свободных средств и вознаграждений от предоставления поручительств и (или) независимых гарантий (далее - операционные расходы), являются денежные средства на исполнение обязательств, доходы от размещения временно свободных денежных средств и вознаграждения от предоставления поручительств и (или) независимых гарантий.</w:t>
      </w:r>
    </w:p>
    <w:p>
      <w:pPr>
        <w:pStyle w:val="0"/>
        <w:jc w:val="both"/>
      </w:pPr>
      <w:r>
        <w:rPr>
          <w:sz w:val="24"/>
        </w:rPr>
        <w:t xml:space="preserve">(в ред. Приказов Минэкономразвития России от 06.12.2017 </w:t>
      </w:r>
      <w:hyperlink w:history="0" r:id="rId50"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rPr>
        <w:t xml:space="preserve">, от 24.09.2021 </w:t>
      </w:r>
      <w:hyperlink w:history="0" r:id="rId51"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N 564</w:t>
        </w:r>
      </w:hyperlink>
      <w:r>
        <w:rPr>
          <w:sz w:val="24"/>
        </w:rPr>
        <w:t xml:space="preserve">)</w:t>
      </w:r>
    </w:p>
    <w:p>
      <w:pPr>
        <w:pStyle w:val="0"/>
        <w:spacing w:before="240" w:lineRule="auto"/>
        <w:ind w:firstLine="540"/>
        <w:jc w:val="both"/>
      </w:pPr>
      <w:r>
        <w:rPr>
          <w:sz w:val="24"/>
        </w:rPr>
        <w:t xml:space="preserve">2.7. В случае недостаточности денежных средств на исполнение обязательств РГО вправе произвести выплату по обязательствам за счет доходов от размещения временно свободных денежных средств и вознаграждения от предоставления поручительств и (или) независимых гарантий РГО, а в случае недостаточности доходов от размещения временно свободных денежных средств и вознаграждения от предоставления поручительств и (или) независимых гарантий РГО вправе произвести выплату по обязательствам за счет средств гарантийного капитала по решению высшего или иного уполномоченного органа управления РГО.</w:t>
      </w:r>
    </w:p>
    <w:p>
      <w:pPr>
        <w:pStyle w:val="0"/>
        <w:jc w:val="both"/>
      </w:pPr>
      <w:r>
        <w:rPr>
          <w:sz w:val="24"/>
        </w:rPr>
        <w:t xml:space="preserve">(п. 2.7 в ред. </w:t>
      </w:r>
      <w:hyperlink w:history="0" r:id="rId52"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Приказа</w:t>
        </w:r>
      </w:hyperlink>
      <w:r>
        <w:rPr>
          <w:sz w:val="24"/>
        </w:rPr>
        <w:t xml:space="preserve"> Минэкономразвития России от 24.09.2021 N 564)</w:t>
      </w:r>
    </w:p>
    <w:p>
      <w:pPr>
        <w:pStyle w:val="0"/>
        <w:spacing w:before="240" w:lineRule="auto"/>
        <w:ind w:firstLine="540"/>
        <w:jc w:val="both"/>
      </w:pPr>
      <w:r>
        <w:rPr>
          <w:sz w:val="24"/>
        </w:rPr>
        <w:t xml:space="preserve">2.8. Утратил силу. - </w:t>
      </w:r>
      <w:hyperlink w:history="0" r:id="rId53"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w:t>
        </w:r>
      </w:hyperlink>
      <w:r>
        <w:rPr>
          <w:sz w:val="24"/>
        </w:rPr>
        <w:t xml:space="preserve"> Минэкономразвития России от 06.12.2017 N 651.</w:t>
      </w:r>
    </w:p>
    <w:p>
      <w:pPr>
        <w:pStyle w:val="0"/>
        <w:spacing w:before="240" w:lineRule="auto"/>
        <w:ind w:firstLine="540"/>
        <w:jc w:val="both"/>
      </w:pPr>
      <w:r>
        <w:rPr>
          <w:sz w:val="24"/>
        </w:rPr>
        <w:t xml:space="preserve">2.9. РГО подлежит ежегодному ранжированию акционерным обществом "Федеральная корпорация по развитию малого и среднего предпринимательства" (далее - АО "Корпорация "МСП") с присвоением ранга, характеризующего степень финансовой устойчивости и эффективность деятельности РГО как участника национальной гарантийной системы, в соответствии с </w:t>
      </w:r>
      <w:hyperlink w:history="0" r:id="rId54"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частью 9 статьи 15.2</w:t>
        </w:r>
      </w:hyperlink>
      <w:r>
        <w:rPr>
          <w:sz w:val="24"/>
        </w:rPr>
        <w:t xml:space="preserve"> Федерального закона N 209-ФЗ (далее - ранжирование РГО).</w:t>
      </w:r>
    </w:p>
    <w:p>
      <w:pPr>
        <w:pStyle w:val="0"/>
        <w:jc w:val="both"/>
      </w:pPr>
      <w:r>
        <w:rPr>
          <w:sz w:val="24"/>
        </w:rPr>
        <w:t xml:space="preserve">(п. 2.9 введен </w:t>
      </w:r>
      <w:hyperlink w:history="0" r:id="rId55"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Приказом</w:t>
        </w:r>
      </w:hyperlink>
      <w:r>
        <w:rPr>
          <w:sz w:val="24"/>
        </w:rPr>
        <w:t xml:space="preserve"> Минэкономразвития России от 07.09.2020 N 573; в ред. </w:t>
      </w:r>
      <w:hyperlink w:history="0" r:id="rId56"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Приказа</w:t>
        </w:r>
      </w:hyperlink>
      <w:r>
        <w:rPr>
          <w:sz w:val="24"/>
        </w:rPr>
        <w:t xml:space="preserve"> Минэкономразвития России от 17.06.2025 N 397)</w:t>
      </w:r>
    </w:p>
    <w:p>
      <w:pPr>
        <w:pStyle w:val="0"/>
        <w:spacing w:before="240" w:lineRule="auto"/>
        <w:ind w:firstLine="540"/>
        <w:jc w:val="both"/>
      </w:pPr>
      <w:r>
        <w:rPr>
          <w:sz w:val="24"/>
        </w:rPr>
        <w:t xml:space="preserve">2.10. РГО должна создаваться и (или) осуществлять деятельность как отдельное от государственной (муниципальной) микрофинансовой организации юридическое лицо.</w:t>
      </w:r>
    </w:p>
    <w:p>
      <w:pPr>
        <w:pStyle w:val="0"/>
        <w:jc w:val="both"/>
      </w:pPr>
      <w:r>
        <w:rPr>
          <w:sz w:val="24"/>
        </w:rPr>
        <w:t xml:space="preserve">(п. 2.10 введен </w:t>
      </w:r>
      <w:hyperlink w:history="0" r:id="rId57"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Приказом</w:t>
        </w:r>
      </w:hyperlink>
      <w:r>
        <w:rPr>
          <w:sz w:val="24"/>
        </w:rPr>
        <w:t xml:space="preserve"> Минэкономразвития России от 17.06.2025 N 397)</w:t>
      </w:r>
    </w:p>
    <w:bookmarkStart w:id="89" w:name="P89"/>
    <w:bookmarkEnd w:id="89"/>
    <w:p>
      <w:pPr>
        <w:pStyle w:val="0"/>
        <w:spacing w:before="240" w:lineRule="auto"/>
        <w:ind w:firstLine="540"/>
        <w:jc w:val="both"/>
      </w:pPr>
      <w:r>
        <w:rPr>
          <w:sz w:val="24"/>
        </w:rPr>
        <w:t xml:space="preserve">2.11. РГО должна использовать средства, предоставленные из бюджетов всех уровней, финансовый результат от деятельности РГО, иные целевые поступления в целях осуществления гарантийной деятельности.</w:t>
      </w:r>
    </w:p>
    <w:p>
      <w:pPr>
        <w:pStyle w:val="0"/>
        <w:jc w:val="both"/>
      </w:pPr>
      <w:r>
        <w:rPr>
          <w:sz w:val="24"/>
        </w:rPr>
        <w:t xml:space="preserve">(п. 2.11 введен </w:t>
      </w:r>
      <w:hyperlink w:history="0" r:id="rId58"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Приказом</w:t>
        </w:r>
      </w:hyperlink>
      <w:r>
        <w:rPr>
          <w:sz w:val="24"/>
        </w:rPr>
        <w:t xml:space="preserve"> Минэкономразвития России от 17.06.2025 N 397)</w:t>
      </w:r>
    </w:p>
    <w:bookmarkStart w:id="91" w:name="P91"/>
    <w:bookmarkEnd w:id="91"/>
    <w:p>
      <w:pPr>
        <w:pStyle w:val="0"/>
        <w:spacing w:before="240" w:lineRule="auto"/>
        <w:ind w:firstLine="540"/>
        <w:jc w:val="both"/>
      </w:pPr>
      <w:r>
        <w:rPr>
          <w:sz w:val="24"/>
        </w:rPr>
        <w:t xml:space="preserve">2.12. Положительный финансовый результат, получаемый РГО от размещения средств, предоставленных из бюджетов субъектов Российской Федерации сверх софинансирования средств федерального бюджета, на депозитах и (или) расчетных счетах кредитных организаций, в размере не более 30% РГО вправе направлять на цели реализации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(далее - федеральный проект), определяемые по решению учредителя РГО по итогам отчетного периода (календарного года), при соблюдении РГО следующих условий:</w:t>
      </w:r>
    </w:p>
    <w:bookmarkStart w:id="92" w:name="P92"/>
    <w:bookmarkEnd w:id="92"/>
    <w:p>
      <w:pPr>
        <w:pStyle w:val="0"/>
        <w:spacing w:before="240" w:lineRule="auto"/>
        <w:ind w:firstLine="540"/>
        <w:jc w:val="both"/>
      </w:pPr>
      <w:r>
        <w:rPr>
          <w:sz w:val="24"/>
        </w:rPr>
        <w:t xml:space="preserve">1) РГО осуществляет деятельность как отдельное от государственной (муниципальной) микрофинансовой организации юридическое лицо;</w:t>
      </w:r>
    </w:p>
    <w:bookmarkStart w:id="93" w:name="P93"/>
    <w:bookmarkEnd w:id="93"/>
    <w:p>
      <w:pPr>
        <w:pStyle w:val="0"/>
        <w:spacing w:before="240" w:lineRule="auto"/>
        <w:ind w:firstLine="540"/>
        <w:jc w:val="both"/>
      </w:pPr>
      <w:r>
        <w:rPr>
          <w:sz w:val="24"/>
        </w:rPr>
        <w:t xml:space="preserve">2) размер действующих поручительств и (или) независимых гарантий РГО должен превышать ее гарантийный капитал на конец отчетного периода (календарного года) не менее чем в 3 (три) раза для РГО, являющихся получателями денежных средств на исполнение обязательств, и не менее чем в 1,5 (полтора) раза для иных РГО, но не более чем в 10 (десять) раз;</w:t>
      </w:r>
    </w:p>
    <w:p>
      <w:pPr>
        <w:pStyle w:val="0"/>
        <w:spacing w:before="240" w:lineRule="auto"/>
        <w:ind w:firstLine="540"/>
        <w:jc w:val="both"/>
      </w:pPr>
      <w:r>
        <w:rPr>
          <w:sz w:val="24"/>
        </w:rPr>
        <w:t xml:space="preserve">3) финансовая устойчивость РГО оценивается на уровне не ниже среднего по результатам последнего ранжирования РГО;</w:t>
      </w:r>
    </w:p>
    <w:p>
      <w:pPr>
        <w:pStyle w:val="0"/>
        <w:spacing w:before="240" w:lineRule="auto"/>
        <w:ind w:firstLine="540"/>
        <w:jc w:val="both"/>
      </w:pPr>
      <w:r>
        <w:rPr>
          <w:sz w:val="24"/>
        </w:rPr>
        <w:t xml:space="preserve">4) гарантийная и операционная деятельность РГО оценивается как максимально эффективная или эффективная по результатам последнего ранжирования РГО;</w:t>
      </w:r>
    </w:p>
    <w:bookmarkStart w:id="96" w:name="P96"/>
    <w:bookmarkEnd w:id="96"/>
    <w:p>
      <w:pPr>
        <w:pStyle w:val="0"/>
        <w:spacing w:before="240" w:lineRule="auto"/>
        <w:ind w:firstLine="540"/>
        <w:jc w:val="both"/>
      </w:pPr>
      <w:r>
        <w:rPr>
          <w:sz w:val="24"/>
        </w:rPr>
        <w:t xml:space="preserve">5) РГО не создана в организационно-правовой форме акционерного общества.</w:t>
      </w:r>
    </w:p>
    <w:p>
      <w:pPr>
        <w:pStyle w:val="0"/>
        <w:jc w:val="both"/>
      </w:pPr>
      <w:r>
        <w:rPr>
          <w:sz w:val="24"/>
        </w:rPr>
        <w:t xml:space="preserve">(п. 2.12 введен </w:t>
      </w:r>
      <w:hyperlink w:history="0" r:id="rId59"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Приказом</w:t>
        </w:r>
      </w:hyperlink>
      <w:r>
        <w:rPr>
          <w:sz w:val="24"/>
        </w:rPr>
        <w:t xml:space="preserve"> Минэкономразвития России от 17.06.2025 N 397)</w:t>
      </w:r>
    </w:p>
    <w:p>
      <w:pPr>
        <w:pStyle w:val="0"/>
        <w:spacing w:before="240" w:lineRule="auto"/>
        <w:ind w:firstLine="540"/>
        <w:jc w:val="both"/>
      </w:pPr>
      <w:r>
        <w:rPr>
          <w:sz w:val="24"/>
        </w:rPr>
        <w:t xml:space="preserve">2.13. В случае если по результатам последнего ранжирования РГО финансовая устойчивость РГО оценивается на относительно низком уровне и (или) гарантийная и операционная деятельность РГО находится на низком уровне (при соблюдении условий, указанных в </w:t>
      </w:r>
      <w:hyperlink w:history="0" w:anchor="P92" w:tooltip="1) РГО осуществляет деятельность как отдельное от государственной (муниципальной) микрофинансовой организации юридическое лицо;">
        <w:r>
          <w:rPr>
            <w:sz w:val="24"/>
            <w:color w:val="0000ff"/>
          </w:rPr>
          <w:t xml:space="preserve">подпунктах 1</w:t>
        </w:r>
      </w:hyperlink>
      <w:r>
        <w:rPr>
          <w:sz w:val="24"/>
        </w:rPr>
        <w:t xml:space="preserve">, </w:t>
      </w:r>
      <w:hyperlink w:history="0" w:anchor="P93" w:tooltip="2) размер действующих поручительств и (или) независимых гарантий РГО должен превышать ее гарантийный капитал на конец отчетного периода (календарного года) не менее чем в 3 (три) раза для РГО, являющихся получателями денежных средств на исполнение обязательств, и не менее чем в 1,5 (полтора) раза для иных РГО, но не более чем в 10 (десять) раз;">
        <w:r>
          <w:rPr>
            <w:sz w:val="24"/>
            <w:color w:val="0000ff"/>
          </w:rPr>
          <w:t xml:space="preserve">2</w:t>
        </w:r>
      </w:hyperlink>
      <w:r>
        <w:rPr>
          <w:sz w:val="24"/>
        </w:rPr>
        <w:t xml:space="preserve"> и </w:t>
      </w:r>
      <w:hyperlink w:history="0" w:anchor="P96" w:tooltip="5) РГО не создана в организационно-правовой форме акционерного общества.">
        <w:r>
          <w:rPr>
            <w:sz w:val="24"/>
            <w:color w:val="0000ff"/>
          </w:rPr>
          <w:t xml:space="preserve">5 пункта 2.12</w:t>
        </w:r>
      </w:hyperlink>
      <w:r>
        <w:rPr>
          <w:sz w:val="24"/>
        </w:rPr>
        <w:t xml:space="preserve"> настоящих Требований), РГО вправе направлять на цели реализации региональных проектов, обеспечивающих достижение целей, показателей и результатов федерального проекта, определяемые по решению учредителя РГО по итогам отчетного периода (календарного года), положительный финансовый результат, указанный в </w:t>
      </w:r>
      <w:hyperlink w:history="0" w:anchor="P91" w:tooltip="2.12. Положительный финансовый результат, получаемый РГО от размещения средств, предоставленных из бюджетов субъектов Российской Федерации сверх софинансирования средств федерального бюджета, на депозитах и (или) расчетных счетах кредитных организаций, в размере не более 30% РГО вправе направлять на цели реализации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
        <w:r>
          <w:rPr>
            <w:sz w:val="24"/>
            <w:color w:val="0000ff"/>
          </w:rPr>
          <w:t xml:space="preserve">абзаце первом пункта 2.12</w:t>
        </w:r>
      </w:hyperlink>
      <w:r>
        <w:rPr>
          <w:sz w:val="24"/>
        </w:rPr>
        <w:t xml:space="preserve"> настоящих Требований, в размере не более 10 (десяти) процентов.</w:t>
      </w:r>
    </w:p>
    <w:p>
      <w:pPr>
        <w:pStyle w:val="0"/>
        <w:spacing w:before="240" w:lineRule="auto"/>
        <w:ind w:firstLine="540"/>
        <w:jc w:val="both"/>
      </w:pPr>
      <w:r>
        <w:rPr>
          <w:sz w:val="24"/>
        </w:rPr>
        <w:t xml:space="preserve">Размер положительного финансового результата, направляемого на цели реализации региональных проектов, обеспечивающих достижение целей, показателей и результатов федерального проекта, определяемые по решению учредителя РГО по итогам отчетного периода (календарного года), утверждается высшим или иным уполномоченным органом управления РГО.</w:t>
      </w:r>
    </w:p>
    <w:p>
      <w:pPr>
        <w:pStyle w:val="0"/>
        <w:spacing w:before="240" w:lineRule="auto"/>
        <w:ind w:firstLine="540"/>
        <w:jc w:val="both"/>
      </w:pPr>
      <w:r>
        <w:rPr>
          <w:sz w:val="24"/>
        </w:rPr>
        <w:t xml:space="preserve">В случае несоблюдения РГО хотя бы одного из </w:t>
      </w:r>
      <w:hyperlink w:history="0" w:anchor="P92" w:tooltip="1) РГО осуществляет деятельность как отдельное от государственной (муниципальной) микрофинансовой организации юридическое лицо;">
        <w:r>
          <w:rPr>
            <w:sz w:val="24"/>
            <w:color w:val="0000ff"/>
          </w:rPr>
          <w:t xml:space="preserve">подпунктов 1</w:t>
        </w:r>
      </w:hyperlink>
      <w:r>
        <w:rPr>
          <w:sz w:val="24"/>
        </w:rPr>
        <w:t xml:space="preserve">, </w:t>
      </w:r>
      <w:hyperlink w:history="0" w:anchor="P93" w:tooltip="2) размер действующих поручительств и (или) независимых гарантий РГО должен превышать ее гарантийный капитал на конец отчетного периода (календарного года) не менее чем в 3 (три) раза для РГО, являющихся получателями денежных средств на исполнение обязательств, и не менее чем в 1,5 (полтора) раза для иных РГО, но не более чем в 10 (десять) раз;">
        <w:r>
          <w:rPr>
            <w:sz w:val="24"/>
            <w:color w:val="0000ff"/>
          </w:rPr>
          <w:t xml:space="preserve">2</w:t>
        </w:r>
      </w:hyperlink>
      <w:r>
        <w:rPr>
          <w:sz w:val="24"/>
        </w:rPr>
        <w:t xml:space="preserve">, </w:t>
      </w:r>
      <w:hyperlink w:history="0" w:anchor="P96" w:tooltip="5) РГО не создана в организационно-правовой форме акционерного общества.">
        <w:r>
          <w:rPr>
            <w:sz w:val="24"/>
            <w:color w:val="0000ff"/>
          </w:rPr>
          <w:t xml:space="preserve">5 пункта 2.12</w:t>
        </w:r>
      </w:hyperlink>
      <w:r>
        <w:rPr>
          <w:sz w:val="24"/>
        </w:rPr>
        <w:t xml:space="preserve"> настоящих Требований и (или) по результатам последнего ранжирования РГО финансовая устойчивость РГО оценивается на низком уровне и (или) гарантийная и операционная деятельность РГО неэффективная положительный финансовый результат, указанный в </w:t>
      </w:r>
      <w:hyperlink w:history="0" w:anchor="P91" w:tooltip="2.12. Положительный финансовый результат, получаемый РГО от размещения средств, предоставленных из бюджетов субъектов Российской Федерации сверх софинансирования средств федерального бюджета, на депозитах и (или) расчетных счетах кредитных организаций, в размере не более 30% РГО вправе направлять на цели реализации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
        <w:r>
          <w:rPr>
            <w:sz w:val="24"/>
            <w:color w:val="0000ff"/>
          </w:rPr>
          <w:t xml:space="preserve">абзаце первом пункта 2.12</w:t>
        </w:r>
      </w:hyperlink>
      <w:r>
        <w:rPr>
          <w:sz w:val="24"/>
        </w:rPr>
        <w:t xml:space="preserve"> настоящих Требований, направляется на цели, указанные в </w:t>
      </w:r>
      <w:hyperlink w:history="0" w:anchor="P89" w:tooltip="2.11. РГО должна использовать средства, предоставленные из бюджетов всех уровней, финансовый результат от деятельности РГО, иные целевые поступления в целях осуществления гарантийной деятельности.">
        <w:r>
          <w:rPr>
            <w:sz w:val="24"/>
            <w:color w:val="0000ff"/>
          </w:rPr>
          <w:t xml:space="preserve">пункте 2.11</w:t>
        </w:r>
      </w:hyperlink>
      <w:r>
        <w:rPr>
          <w:sz w:val="24"/>
        </w:rPr>
        <w:t xml:space="preserve"> настоящих Требований, в полном объеме.</w:t>
      </w:r>
    </w:p>
    <w:p>
      <w:pPr>
        <w:pStyle w:val="0"/>
        <w:jc w:val="both"/>
      </w:pPr>
      <w:r>
        <w:rPr>
          <w:sz w:val="24"/>
        </w:rPr>
        <w:t xml:space="preserve">(п. 2.13 введен </w:t>
      </w:r>
      <w:hyperlink w:history="0" r:id="rId60"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Приказом</w:t>
        </w:r>
      </w:hyperlink>
      <w:r>
        <w:rPr>
          <w:sz w:val="24"/>
        </w:rPr>
        <w:t xml:space="preserve"> Минэкономразвития России от 17.06.2025 N 397)</w:t>
      </w:r>
    </w:p>
    <w:p>
      <w:pPr>
        <w:pStyle w:val="0"/>
        <w:jc w:val="both"/>
      </w:pPr>
      <w:r>
        <w:rPr>
          <w:sz w:val="24"/>
        </w:rPr>
      </w:r>
    </w:p>
    <w:p>
      <w:pPr>
        <w:pStyle w:val="2"/>
        <w:outlineLvl w:val="1"/>
        <w:jc w:val="center"/>
      </w:pPr>
      <w:r>
        <w:rPr>
          <w:sz w:val="24"/>
        </w:rPr>
        <w:t xml:space="preserve">III. Порядок определения объема обеспечения РГО</w:t>
      </w:r>
    </w:p>
    <w:p>
      <w:pPr>
        <w:pStyle w:val="2"/>
        <w:jc w:val="center"/>
      </w:pPr>
      <w:r>
        <w:rPr>
          <w:sz w:val="24"/>
        </w:rPr>
        <w:t xml:space="preserve">исполнения субъектами МСП, а также физическими лицами, применяющими</w:t>
      </w:r>
    </w:p>
    <w:p>
      <w:pPr>
        <w:pStyle w:val="2"/>
        <w:jc w:val="center"/>
      </w:pPr>
      <w:r>
        <w:rPr>
          <w:sz w:val="24"/>
        </w:rPr>
        <w:t xml:space="preserve">специальный налоговый режим "Налог на профессиональный доход",</w:t>
      </w:r>
    </w:p>
    <w:p>
      <w:pPr>
        <w:pStyle w:val="2"/>
        <w:jc w:val="center"/>
      </w:pPr>
      <w:r>
        <w:rPr>
          <w:sz w:val="24"/>
        </w:rPr>
        <w:t xml:space="preserve">и организациями инфраструктуры поддержки обязательств</w:t>
      </w:r>
    </w:p>
    <w:p>
      <w:pPr>
        <w:pStyle w:val="0"/>
        <w:jc w:val="center"/>
      </w:pPr>
      <w:r>
        <w:rPr>
          <w:sz w:val="24"/>
        </w:rPr>
        <w:t xml:space="preserve">(в ред. </w:t>
      </w:r>
      <w:hyperlink w:history="0" r:id="rId61"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jc w:val="both"/>
      </w:pPr>
      <w:r>
        <w:rPr>
          <w:sz w:val="24"/>
        </w:rPr>
      </w:r>
    </w:p>
    <w:p>
      <w:pPr>
        <w:pStyle w:val="0"/>
        <w:ind w:firstLine="540"/>
        <w:jc w:val="both"/>
      </w:pPr>
      <w:r>
        <w:rPr>
          <w:sz w:val="24"/>
        </w:rPr>
        <w:t xml:space="preserve">3.1. РГО определяет объем поручительства и (или) независимой гарантии по обязательствам конкретного субъекта МСП, а также физического лица, применяющего специальный налоговый режим "Налог на профессиональный доход", и (или) организации инфраструктуры поддержки по результатам рассмотрения заявки на предоставление поручительства и (или) независимой гарантии, поступившей в РГО из финансовой организации или от участника закупки, а также анализа действующих в отношении субъекта МСП, а также физического лица, применяющего специальный налоговый режим "Налог на профессиональный доход", и (или) организации инфраструктуры поддержки поручительств и (или) независимых гарантий данных РГО.</w:t>
      </w:r>
    </w:p>
    <w:p>
      <w:pPr>
        <w:pStyle w:val="0"/>
        <w:jc w:val="both"/>
      </w:pPr>
      <w:r>
        <w:rPr>
          <w:sz w:val="24"/>
        </w:rPr>
        <w:t xml:space="preserve">(в ред. Приказов Минэкономразвития России от 06.12.2017 </w:t>
      </w:r>
      <w:hyperlink w:history="0" r:id="rId62"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rPr>
        <w:t xml:space="preserve">, от 07.09.2020 </w:t>
      </w:r>
      <w:hyperlink w:history="0" r:id="rId63"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w:t>
      </w:r>
    </w:p>
    <w:p>
      <w:pPr>
        <w:pStyle w:val="0"/>
        <w:spacing w:before="240" w:lineRule="auto"/>
        <w:ind w:firstLine="540"/>
        <w:jc w:val="both"/>
      </w:pPr>
      <w:r>
        <w:rPr>
          <w:sz w:val="24"/>
        </w:rPr>
        <w:t xml:space="preserve">3.1.1. Для целей настоящих Требований под обязательствами участника закупки понимается:</w:t>
      </w:r>
    </w:p>
    <w:p>
      <w:pPr>
        <w:pStyle w:val="0"/>
        <w:spacing w:before="240" w:lineRule="auto"/>
        <w:ind w:firstLine="540"/>
        <w:jc w:val="both"/>
      </w:pPr>
      <w:r>
        <w:rPr>
          <w:sz w:val="24"/>
        </w:rPr>
        <w:t xml:space="preserve">1) обеспечение заявки на участие в закупке;</w:t>
      </w:r>
    </w:p>
    <w:p>
      <w:pPr>
        <w:pStyle w:val="0"/>
        <w:spacing w:before="240" w:lineRule="auto"/>
        <w:ind w:firstLine="540"/>
        <w:jc w:val="both"/>
      </w:pPr>
      <w:r>
        <w:rPr>
          <w:sz w:val="24"/>
        </w:rPr>
        <w:t xml:space="preserve">2) обязательство по исполнению контракта (договора);</w:t>
      </w:r>
    </w:p>
    <w:p>
      <w:pPr>
        <w:pStyle w:val="0"/>
        <w:jc w:val="both"/>
      </w:pPr>
      <w:r>
        <w:rPr>
          <w:sz w:val="24"/>
        </w:rPr>
        <w:t xml:space="preserve">(в ред. </w:t>
      </w:r>
      <w:hyperlink w:history="0" r:id="rId64"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Приказа</w:t>
        </w:r>
      </w:hyperlink>
      <w:r>
        <w:rPr>
          <w:sz w:val="24"/>
        </w:rPr>
        <w:t xml:space="preserve"> Минэкономразвития России от 31.10.2022 N 591)</w:t>
      </w:r>
    </w:p>
    <w:p>
      <w:pPr>
        <w:pStyle w:val="0"/>
        <w:spacing w:before="240" w:lineRule="auto"/>
        <w:ind w:firstLine="540"/>
        <w:jc w:val="both"/>
      </w:pPr>
      <w:r>
        <w:rPr>
          <w:sz w:val="24"/>
        </w:rPr>
        <w:t xml:space="preserve">3) обязательство по обеспечению гарантии качества товара, работы, услуги, а также гарантийного срока и (или) объема предоставления гарантий их качества, гарантийного обслуживания товара (далее - гарантийные обязательства).</w:t>
      </w:r>
    </w:p>
    <w:p>
      <w:pPr>
        <w:pStyle w:val="0"/>
        <w:jc w:val="both"/>
      </w:pPr>
      <w:r>
        <w:rPr>
          <w:sz w:val="24"/>
        </w:rPr>
        <w:t xml:space="preserve">(пп. 3 введен </w:t>
      </w:r>
      <w:hyperlink w:history="0" r:id="rId65"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Приказом</w:t>
        </w:r>
      </w:hyperlink>
      <w:r>
        <w:rPr>
          <w:sz w:val="24"/>
        </w:rPr>
        <w:t xml:space="preserve"> Минэкономразвития России от 31.10.2022 N 591)</w:t>
      </w:r>
    </w:p>
    <w:p>
      <w:pPr>
        <w:pStyle w:val="0"/>
        <w:jc w:val="both"/>
      </w:pPr>
      <w:r>
        <w:rPr>
          <w:sz w:val="24"/>
        </w:rPr>
        <w:t xml:space="preserve">(п. 3.1.1 введен </w:t>
      </w:r>
      <w:hyperlink w:history="0" r:id="rId66"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Приказом</w:t>
        </w:r>
      </w:hyperlink>
      <w:r>
        <w:rPr>
          <w:sz w:val="24"/>
        </w:rPr>
        <w:t xml:space="preserve"> Минэкономразвития России от 06.12.2017 N 651)</w:t>
      </w:r>
    </w:p>
    <w:p>
      <w:pPr>
        <w:pStyle w:val="0"/>
        <w:spacing w:before="240" w:lineRule="auto"/>
        <w:ind w:firstLine="540"/>
        <w:jc w:val="both"/>
      </w:pPr>
      <w:r>
        <w:rPr>
          <w:sz w:val="24"/>
        </w:rPr>
        <w:t xml:space="preserve">3.2. Для целей настоящих Требований под обязательствами субъекта МСП, а также физического лица, применяющего специальный налоговый режим "Налог на профессиональный доход", и (или) организации инфраструктуры поддержки перед финансовыми организациями понимается:</w:t>
      </w:r>
    </w:p>
    <w:p>
      <w:pPr>
        <w:pStyle w:val="0"/>
        <w:jc w:val="both"/>
      </w:pPr>
      <w:r>
        <w:rPr>
          <w:sz w:val="24"/>
        </w:rPr>
        <w:t xml:space="preserve">(в ред. </w:t>
      </w:r>
      <w:hyperlink w:history="0" r:id="rId67"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1) сумма кредита (основной долг по кредитному договору), сумма займа (основной долг по договору займа);</w:t>
      </w:r>
    </w:p>
    <w:p>
      <w:pPr>
        <w:pStyle w:val="0"/>
        <w:spacing w:before="240" w:lineRule="auto"/>
        <w:ind w:firstLine="540"/>
        <w:jc w:val="both"/>
      </w:pPr>
      <w:r>
        <w:rPr>
          <w:sz w:val="24"/>
        </w:rPr>
        <w:t xml:space="preserve">2) сумма лизинговых платежей в части погашения стоимости предмета лизинга по договорам финансовой аренды (лизинга);</w:t>
      </w:r>
    </w:p>
    <w:p>
      <w:pPr>
        <w:pStyle w:val="0"/>
        <w:spacing w:before="240" w:lineRule="auto"/>
        <w:ind w:firstLine="540"/>
        <w:jc w:val="both"/>
      </w:pPr>
      <w:r>
        <w:rPr>
          <w:sz w:val="24"/>
        </w:rPr>
        <w:t xml:space="preserve">3) денежная сумма, подлежащая выплате гаранту по банковской гарантии;</w:t>
      </w:r>
    </w:p>
    <w:p>
      <w:pPr>
        <w:pStyle w:val="0"/>
        <w:spacing w:before="240" w:lineRule="auto"/>
        <w:ind w:firstLine="540"/>
        <w:jc w:val="both"/>
      </w:pPr>
      <w:r>
        <w:rPr>
          <w:sz w:val="24"/>
        </w:rPr>
        <w:t xml:space="preserve">4) денежная сумма по иным финансовым обязательствам.</w:t>
      </w:r>
    </w:p>
    <w:p>
      <w:pPr>
        <w:pStyle w:val="0"/>
        <w:jc w:val="both"/>
      </w:pPr>
      <w:r>
        <w:rPr>
          <w:sz w:val="24"/>
        </w:rPr>
        <w:t xml:space="preserve">(пп. 4 введен </w:t>
      </w:r>
      <w:hyperlink w:history="0" r:id="rId68"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Приказом</w:t>
        </w:r>
      </w:hyperlink>
      <w:r>
        <w:rPr>
          <w:sz w:val="24"/>
        </w:rPr>
        <w:t xml:space="preserve"> Минэкономразвития России от 24.09.2021 N 564)</w:t>
      </w:r>
    </w:p>
    <w:p>
      <w:pPr>
        <w:pStyle w:val="0"/>
        <w:spacing w:before="240" w:lineRule="auto"/>
        <w:ind w:firstLine="540"/>
        <w:jc w:val="both"/>
      </w:pPr>
      <w:r>
        <w:rPr>
          <w:sz w:val="24"/>
        </w:rPr>
        <w:t xml:space="preserve">3.3. Максимальный объем единовременно выдаваемого поручительства и (или) независимой гарантии в отношении одного субъекта МСП, а также физического лица, применяющего специальный налоговый режим "Налог на профессиональный доход", организации инфраструктуры поддержки устанавливается высшим или иным уполномоченным органом управления РГО на 1 (первое) число текущего финансового года и не может превышать:</w:t>
      </w:r>
    </w:p>
    <w:p>
      <w:pPr>
        <w:pStyle w:val="0"/>
        <w:jc w:val="both"/>
      </w:pPr>
      <w:r>
        <w:rPr>
          <w:sz w:val="24"/>
        </w:rPr>
        <w:t xml:space="preserve">(в ред. </w:t>
      </w:r>
      <w:hyperlink w:history="0" r:id="rId69"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1) 25 млн. рублей, но не более 10% гарантийного капитала РГО, для РГО с гарантийным капиталом менее 700 млн. рублей;</w:t>
      </w:r>
    </w:p>
    <w:p>
      <w:pPr>
        <w:pStyle w:val="0"/>
        <w:spacing w:before="240" w:lineRule="auto"/>
        <w:ind w:firstLine="540"/>
        <w:jc w:val="both"/>
      </w:pPr>
      <w:r>
        <w:rPr>
          <w:sz w:val="24"/>
        </w:rPr>
        <w:t xml:space="preserve">2) 10% гарантийного капитала РГО, но не более 100 млн. рублей, для РГО с гарантийным капиталом свыше 700 млн. рублей.</w:t>
      </w:r>
    </w:p>
    <w:p>
      <w:pPr>
        <w:pStyle w:val="0"/>
        <w:spacing w:before="240" w:lineRule="auto"/>
        <w:ind w:firstLine="540"/>
        <w:jc w:val="both"/>
      </w:pPr>
      <w:r>
        <w:rPr>
          <w:sz w:val="24"/>
        </w:rPr>
        <w:t xml:space="preserve">3.4. Гарантийный лимит на заемщика, то есть предельная сумма обязательств РГО по договорам поручительств и (или) независимых гарантий, которые могут одновременно действовать в отношении одного субъекта МСП, а также физического лица, применяющего специальный налоговый режим "Налог на профессиональный доход", и (или) организации инфраструктуры поддержки, не может превышать 15% гарантийного капитала РГО.</w:t>
      </w:r>
    </w:p>
    <w:p>
      <w:pPr>
        <w:pStyle w:val="0"/>
        <w:jc w:val="both"/>
      </w:pPr>
      <w:r>
        <w:rPr>
          <w:sz w:val="24"/>
        </w:rPr>
        <w:t xml:space="preserve">(в ред. </w:t>
      </w:r>
      <w:hyperlink w:history="0" r:id="rId70"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При введении режима повышенной готовности или режима чрезвычайной ситуации, гарантийный лимит на заемщика, осуществляющего деятельность на территории, в отношении которой введен один из указанных режимов, то есть предельная сумма обязательства РГО по договору поручительства и (или) независимой гарантии в отношении одного субъекта МСП, а также физического лица, применяющего специальный налоговый режим "Налог на профессиональный доход", и (или) организации инфраструктуры поддержки не может превышать 80% от суммы обязательств по такому договору, но не более 15% гарантийного капитала РГО в отношении всех договоров поручительств и (или) независимых гарантий, действующих в отношении одного субъекта МСП, а также физического лица, применяющего специальный налоговый режим "Налог на профессиональный доход", и (или) организации инфраструктуры поддержки.</w:t>
      </w:r>
    </w:p>
    <w:p>
      <w:pPr>
        <w:pStyle w:val="0"/>
        <w:jc w:val="both"/>
      </w:pPr>
      <w:r>
        <w:rPr>
          <w:sz w:val="24"/>
        </w:rPr>
        <w:t xml:space="preserve">(абзац введен </w:t>
      </w:r>
      <w:hyperlink w:history="0" r:id="rId71"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Приказом</w:t>
        </w:r>
      </w:hyperlink>
      <w:r>
        <w:rPr>
          <w:sz w:val="24"/>
        </w:rPr>
        <w:t xml:space="preserve"> Минэкономразвития России от 01.06.2020 N 323; в ред. </w:t>
      </w:r>
      <w:hyperlink w:history="0" r:id="rId72"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3.5. Изменение максимального объема единовременно выдаваемого поручительства и (или) независимой гарантии и гарантийного лимита на заемщика осуществляется высшим или иным уполномоченным органом управления РГО в случае изменения размера гарантийного капитала.</w:t>
      </w:r>
    </w:p>
    <w:p>
      <w:pPr>
        <w:pStyle w:val="0"/>
        <w:spacing w:before="240" w:lineRule="auto"/>
        <w:ind w:firstLine="540"/>
        <w:jc w:val="both"/>
      </w:pPr>
      <w:r>
        <w:rPr>
          <w:sz w:val="24"/>
        </w:rPr>
        <w:t xml:space="preserve">3.6. Ответственность РГО перед заказчиком, осуществляющим закупки в соответствии с </w:t>
      </w:r>
      <w:hyperlink w:history="0" r:id="rId7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или </w:t>
      </w:r>
      <w:hyperlink w:history="0" r:id="rId7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 контрактной системе (далее - заказчик), или финансовыми организациями не может превышать 70% от суммы неисполненных обязательств участников закупок или обязательств субъектов МСП, физических лиц, применяющих специальный налоговый режим "Налог на профессиональный доход", и (или) организаций инфраструктуры поддержки по заключенному Договору на дату предъявления требования заказчиком или финансовой организацией по такому обязательству или Договору, обеспеченному поручительством и (или) независимой гарантией РГО.</w:t>
      </w:r>
    </w:p>
    <w:p>
      <w:pPr>
        <w:pStyle w:val="0"/>
        <w:jc w:val="both"/>
      </w:pPr>
      <w:r>
        <w:rPr>
          <w:sz w:val="24"/>
        </w:rPr>
        <w:t xml:space="preserve">(в ред. Приказов Минэкономразвития России от 06.12.2017 </w:t>
      </w:r>
      <w:hyperlink w:history="0" r:id="rId75"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rPr>
        <w:t xml:space="preserve">, от 07.09.2020 </w:t>
      </w:r>
      <w:hyperlink w:history="0" r:id="rId76"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w:t>
      </w:r>
    </w:p>
    <w:p>
      <w:pPr>
        <w:pStyle w:val="0"/>
        <w:spacing w:before="240" w:lineRule="auto"/>
        <w:ind w:firstLine="540"/>
        <w:jc w:val="both"/>
      </w:pPr>
      <w:r>
        <w:rPr>
          <w:sz w:val="24"/>
        </w:rPr>
        <w:t xml:space="preserve">3.7. Ответственность РГО перед финансовыми организациями по неисполненным обязательствам субъектов МСП, физических лиц, применяющих специальный налоговый режим "Налог на профессиональный доход", и (или) организаций инфраструктуры поддержки по заключенному Договору на дату предъявления требования финансовой организации по такому обязательству или Договору, обеспеченному поручительством и (или) независимой гарантией РГО, не может превышать 95% от суммы неисполненных обязательств для РГО с гарантийным капиталом свыше 700 млн. рублей при условии, что стоимость прав на объекты интеллектуальной собственности, принадлежащих субъекту МСП, физическому лицу, применяющему специальный налоговый режим "Налог на профессиональный доход", и (или) организации инфраструктуры поддержки, подтвержденная отчетом о проведении независимой оценки, превышает размер запрошенного поручительства и (или) независимой гарантии РГО.</w:t>
      </w:r>
    </w:p>
    <w:p>
      <w:pPr>
        <w:pStyle w:val="0"/>
        <w:jc w:val="both"/>
      </w:pPr>
      <w:r>
        <w:rPr>
          <w:sz w:val="24"/>
        </w:rPr>
        <w:t xml:space="preserve">(п. 3.7 введен </w:t>
      </w:r>
      <w:hyperlink w:history="0" r:id="rId77"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Приказом</w:t>
        </w:r>
      </w:hyperlink>
      <w:r>
        <w:rPr>
          <w:sz w:val="24"/>
        </w:rPr>
        <w:t xml:space="preserve"> Минэкономразвития России от 01.06.2020 N 323; в ред. </w:t>
      </w:r>
      <w:hyperlink w:history="0" r:id="rId78"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jc w:val="both"/>
      </w:pPr>
      <w:r>
        <w:rPr>
          <w:sz w:val="24"/>
        </w:rPr>
      </w:r>
    </w:p>
    <w:p>
      <w:pPr>
        <w:pStyle w:val="2"/>
        <w:outlineLvl w:val="1"/>
        <w:jc w:val="center"/>
      </w:pPr>
      <w:r>
        <w:rPr>
          <w:sz w:val="24"/>
        </w:rPr>
        <w:t xml:space="preserve">IV. Требования к аудиторским организациям</w:t>
      </w:r>
    </w:p>
    <w:p>
      <w:pPr>
        <w:pStyle w:val="2"/>
        <w:jc w:val="center"/>
      </w:pPr>
      <w:r>
        <w:rPr>
          <w:sz w:val="24"/>
        </w:rPr>
        <w:t xml:space="preserve">и порядку их отбора</w:t>
      </w:r>
    </w:p>
    <w:p>
      <w:pPr>
        <w:pStyle w:val="0"/>
        <w:jc w:val="center"/>
      </w:pPr>
      <w:r>
        <w:rPr>
          <w:sz w:val="24"/>
        </w:rPr>
        <w:t xml:space="preserve">(в ред. Приказов Минэкономразвития России</w:t>
      </w:r>
    </w:p>
    <w:p>
      <w:pPr>
        <w:pStyle w:val="0"/>
        <w:jc w:val="center"/>
      </w:pPr>
      <w:r>
        <w:rPr>
          <w:sz w:val="24"/>
        </w:rPr>
        <w:t xml:space="preserve">от 01.06.2020 </w:t>
      </w:r>
      <w:hyperlink w:history="0" r:id="rId79"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rPr>
        <w:t xml:space="preserve">, от 08.07.2024 </w:t>
      </w:r>
      <w:hyperlink w:history="0" r:id="rId80"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N 418</w:t>
        </w:r>
      </w:hyperlink>
      <w:r>
        <w:rPr>
          <w:sz w:val="24"/>
        </w:rPr>
        <w:t xml:space="preserve">)</w:t>
      </w:r>
    </w:p>
    <w:p>
      <w:pPr>
        <w:pStyle w:val="0"/>
        <w:jc w:val="both"/>
      </w:pPr>
      <w:r>
        <w:rPr>
          <w:sz w:val="24"/>
        </w:rPr>
      </w:r>
    </w:p>
    <w:p>
      <w:pPr>
        <w:pStyle w:val="0"/>
        <w:ind w:firstLine="540"/>
        <w:jc w:val="both"/>
      </w:pPr>
      <w:r>
        <w:rPr>
          <w:sz w:val="24"/>
        </w:rPr>
        <w:t xml:space="preserve">4.1. Для цели проведения обязательного аудита РГО в соответствии с </w:t>
      </w:r>
      <w:hyperlink w:history="0" r:id="rId81"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частью 3 статьи 15.2</w:t>
        </w:r>
      </w:hyperlink>
      <w:r>
        <w:rPr>
          <w:sz w:val="24"/>
        </w:rPr>
        <w:t xml:space="preserve"> Федерального закона N 209-ФЗ аудиторские организации должны соответствовать требованиям, установленным Федеральным </w:t>
      </w:r>
      <w:hyperlink w:history="0" r:id="rId82" w:tooltip="Федеральный закон от 30.12.2008 N 307-ФЗ (ред. от 26.12.2024) &quot;Об аудиторской деятельности&quot; {КонсультантПлюс}">
        <w:r>
          <w:rPr>
            <w:sz w:val="24"/>
            <w:color w:val="0000ff"/>
          </w:rPr>
          <w:t xml:space="preserve">законом</w:t>
        </w:r>
      </w:hyperlink>
      <w:r>
        <w:rPr>
          <w:sz w:val="24"/>
        </w:rPr>
        <w:t xml:space="preserve"> от 30 декабря 2008 г. N 307-ФЗ "Об аудиторской деятельности" (Собрание законодательства Российской Федерации, 2009, N 1, ст. 15; 2010, N 27, ст. 3420; 2011, N 1, ст. 12; N 19, ст. 2716; N 27, ст. 3880; N 29, ст. 4291; N 48, ст. 6728; 2013, N 27, ст. 3477; N 52, ст. 6961; 2014, N 10, ст. 954; N 49, ст. 6912; 2016, N 27, ст. 4169, 4195, 4293) (далее - Закон об аудиторской деятельности).</w:t>
      </w:r>
    </w:p>
    <w:p>
      <w:pPr>
        <w:pStyle w:val="0"/>
        <w:jc w:val="both"/>
      </w:pPr>
      <w:r>
        <w:rPr>
          <w:sz w:val="24"/>
        </w:rPr>
        <w:t xml:space="preserve">(в ред. Приказов Минэкономразвития России от 01.06.2020 </w:t>
      </w:r>
      <w:hyperlink w:history="0" r:id="rId83"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rPr>
        <w:t xml:space="preserve">, от 08.07.2024 </w:t>
      </w:r>
      <w:hyperlink w:history="0" r:id="rId84"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N 418</w:t>
        </w:r>
      </w:hyperlink>
      <w:r>
        <w:rPr>
          <w:sz w:val="24"/>
        </w:rPr>
        <w:t xml:space="preserve">)</w:t>
      </w:r>
    </w:p>
    <w:p>
      <w:pPr>
        <w:pStyle w:val="0"/>
        <w:spacing w:before="240" w:lineRule="auto"/>
        <w:ind w:firstLine="540"/>
        <w:jc w:val="both"/>
      </w:pPr>
      <w:r>
        <w:rPr>
          <w:sz w:val="24"/>
        </w:rPr>
        <w:t xml:space="preserve">4.2. В целях участия в отборе, проводимом РГО, аудиторская организация должна соответствовать следующим требованиям:</w:t>
      </w:r>
    </w:p>
    <w:p>
      <w:pPr>
        <w:pStyle w:val="0"/>
        <w:jc w:val="both"/>
      </w:pPr>
      <w:r>
        <w:rPr>
          <w:sz w:val="24"/>
        </w:rPr>
        <w:t xml:space="preserve">(в ред. Приказов Минэкономразвития России от 01.06.2020 </w:t>
      </w:r>
      <w:hyperlink w:history="0" r:id="rId85"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rPr>
        <w:t xml:space="preserve">, от 08.07.2024 </w:t>
      </w:r>
      <w:hyperlink w:history="0" r:id="rId86"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N 418</w:t>
        </w:r>
      </w:hyperlink>
      <w:r>
        <w:rPr>
          <w:sz w:val="24"/>
        </w:rPr>
        <w:t xml:space="preserve">)</w:t>
      </w:r>
    </w:p>
    <w:p>
      <w:pPr>
        <w:pStyle w:val="0"/>
        <w:spacing w:before="240" w:lineRule="auto"/>
        <w:ind w:firstLine="540"/>
        <w:jc w:val="both"/>
      </w:pPr>
      <w:r>
        <w:rPr>
          <w:sz w:val="24"/>
        </w:rPr>
        <w:t xml:space="preserve">1) отсутствие в предусмотренном </w:t>
      </w:r>
      <w:hyperlink w:history="0" r:id="rId8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 контрактной системе реестре недобросовестных поставщиков (подрядчиков, исполнителей) информации об аудиторской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аудиторской организации;</w:t>
      </w:r>
    </w:p>
    <w:p>
      <w:pPr>
        <w:pStyle w:val="0"/>
        <w:jc w:val="both"/>
      </w:pPr>
      <w:r>
        <w:rPr>
          <w:sz w:val="24"/>
        </w:rPr>
        <w:t xml:space="preserve">(в ред. Приказов Минэкономразвития России от 06.12.2017 </w:t>
      </w:r>
      <w:hyperlink w:history="0" r:id="rId88"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rPr>
        <w:t xml:space="preserve">, от 01.06.2020 </w:t>
      </w:r>
      <w:hyperlink w:history="0" r:id="rId89"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rPr>
        <w:t xml:space="preserve">, от 08.07.2024 </w:t>
      </w:r>
      <w:hyperlink w:history="0" r:id="rId90"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N 418</w:t>
        </w:r>
      </w:hyperlink>
      <w:r>
        <w:rPr>
          <w:sz w:val="24"/>
        </w:rPr>
        <w:t xml:space="preserve">)</w:t>
      </w:r>
    </w:p>
    <w:p>
      <w:pPr>
        <w:pStyle w:val="0"/>
        <w:spacing w:before="240" w:lineRule="auto"/>
        <w:ind w:firstLine="540"/>
        <w:jc w:val="both"/>
      </w:pPr>
      <w:r>
        <w:rPr>
          <w:sz w:val="24"/>
        </w:rPr>
        <w:t xml:space="preserve">2) другим требованиям, определенным </w:t>
      </w:r>
      <w:hyperlink w:history="0" r:id="rId9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пунктом 1 статьи 31</w:t>
        </w:r>
      </w:hyperlink>
      <w:r>
        <w:rPr>
          <w:sz w:val="24"/>
        </w:rPr>
        <w:t xml:space="preserve"> Закона о контрактной системе.</w:t>
      </w:r>
    </w:p>
    <w:bookmarkStart w:id="151" w:name="P151"/>
    <w:bookmarkEnd w:id="151"/>
    <w:p>
      <w:pPr>
        <w:pStyle w:val="0"/>
        <w:spacing w:before="240" w:lineRule="auto"/>
        <w:ind w:firstLine="540"/>
        <w:jc w:val="both"/>
      </w:pPr>
      <w:r>
        <w:rPr>
          <w:sz w:val="24"/>
        </w:rPr>
        <w:t xml:space="preserve">4.3. В случае, если РГО отнесена в соответствии с </w:t>
      </w:r>
      <w:hyperlink w:history="0" r:id="rId92" w:tooltip="Федеральный закон от 30.12.2008 N 307-ФЗ (ред. от 26.12.2024) &quot;Об аудиторской деятельности&quot; {КонсультантПлюс}">
        <w:r>
          <w:rPr>
            <w:sz w:val="24"/>
            <w:color w:val="0000ff"/>
          </w:rPr>
          <w:t xml:space="preserve">частью 4 статьи 5</w:t>
        </w:r>
      </w:hyperlink>
      <w:r>
        <w:rPr>
          <w:sz w:val="24"/>
        </w:rPr>
        <w:t xml:space="preserve"> Закона об аудиторской деятельности к организациям, в отношении которых проводится обязательный аудит, договор на проведение обязательного аудита бухгалтерской (финансовой) отчетности РГО, заключается с аудиторской организацией, определенной путем проведения открытого конкурса, в порядке, установленном </w:t>
      </w:r>
      <w:hyperlink w:history="0" r:id="rId9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 контрактной системе.</w:t>
      </w:r>
    </w:p>
    <w:p>
      <w:pPr>
        <w:pStyle w:val="0"/>
        <w:jc w:val="both"/>
      </w:pPr>
      <w:r>
        <w:rPr>
          <w:sz w:val="24"/>
        </w:rPr>
        <w:t xml:space="preserve">(в ред. Приказов Минэкономразвития России от 01.06.2020 </w:t>
      </w:r>
      <w:hyperlink w:history="0" r:id="rId94"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rPr>
        <w:t xml:space="preserve">, от 08.07.2024 </w:t>
      </w:r>
      <w:hyperlink w:history="0" r:id="rId95"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N 418</w:t>
        </w:r>
      </w:hyperlink>
      <w:r>
        <w:rPr>
          <w:sz w:val="24"/>
        </w:rPr>
        <w:t xml:space="preserve">)</w:t>
      </w:r>
    </w:p>
    <w:p>
      <w:pPr>
        <w:pStyle w:val="0"/>
        <w:spacing w:before="240" w:lineRule="auto"/>
        <w:ind w:firstLine="540"/>
        <w:jc w:val="both"/>
      </w:pPr>
      <w:r>
        <w:rPr>
          <w:sz w:val="24"/>
        </w:rPr>
        <w:t xml:space="preserve">4.4. Отбор аудиторской организации для РГО, не указанных в </w:t>
      </w:r>
      <w:hyperlink w:history="0" w:anchor="P151" w:tooltip="4.3. В случае, если РГО отнесена в соответствии с частью 4 статьи 5 Закона об аудиторской деятельности к организациям, в отношении которых проводится обязательный аудит, договор на проведение обязательного аудита бухгалтерской (финансовой) отчетности РГО, заключается с аудиторской организацией, определенной путем проведения открытого конкурса, в порядке, установленном Законом о контрактной системе.">
        <w:r>
          <w:rPr>
            <w:sz w:val="24"/>
            <w:color w:val="0000ff"/>
          </w:rPr>
          <w:t xml:space="preserve">пункте 4.3</w:t>
        </w:r>
      </w:hyperlink>
      <w:r>
        <w:rPr>
          <w:sz w:val="24"/>
        </w:rPr>
        <w:t xml:space="preserve"> настоящих Требований, проводится с соблюдением следующих требований:</w:t>
      </w:r>
    </w:p>
    <w:p>
      <w:pPr>
        <w:pStyle w:val="0"/>
        <w:jc w:val="both"/>
      </w:pPr>
      <w:r>
        <w:rPr>
          <w:sz w:val="24"/>
        </w:rPr>
        <w:t xml:space="preserve">(в ред. Приказов Минэкономразвития России от 01.06.2020 </w:t>
      </w:r>
      <w:hyperlink w:history="0" r:id="rId96"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rPr>
        <w:t xml:space="preserve">, от 08.07.2024 </w:t>
      </w:r>
      <w:hyperlink w:history="0" r:id="rId97"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N 418</w:t>
        </w:r>
      </w:hyperlink>
      <w:r>
        <w:rPr>
          <w:sz w:val="24"/>
        </w:rPr>
        <w:t xml:space="preserve">)</w:t>
      </w:r>
    </w:p>
    <w:p>
      <w:pPr>
        <w:pStyle w:val="0"/>
        <w:spacing w:before="240" w:lineRule="auto"/>
        <w:ind w:firstLine="540"/>
        <w:jc w:val="both"/>
      </w:pPr>
      <w:r>
        <w:rPr>
          <w:sz w:val="24"/>
        </w:rPr>
        <w:t xml:space="preserve">1) проведение отбора не реже чем один раз в пять лет;</w:t>
      </w:r>
    </w:p>
    <w:p>
      <w:pPr>
        <w:pStyle w:val="0"/>
        <w:spacing w:before="240" w:lineRule="auto"/>
        <w:ind w:firstLine="540"/>
        <w:jc w:val="both"/>
      </w:pPr>
      <w:r>
        <w:rPr>
          <w:sz w:val="24"/>
        </w:rPr>
        <w:t xml:space="preserve">2) размещение информации об отборе аудиторских организаций на официальном сайте РГО в информационно-телекоммуникационной сети "Интернет" (далее - сеть "Интернет") не позднее чем за 30 (тридцать) календарных дней до дня его проведения;</w:t>
      </w:r>
    </w:p>
    <w:p>
      <w:pPr>
        <w:pStyle w:val="0"/>
        <w:jc w:val="both"/>
      </w:pPr>
      <w:r>
        <w:rPr>
          <w:sz w:val="24"/>
        </w:rPr>
        <w:t xml:space="preserve">(в ред. Приказов Минэкономразвития России от 06.12.2017 </w:t>
      </w:r>
      <w:hyperlink w:history="0" r:id="rId98"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rPr>
        <w:t xml:space="preserve">, от 01.06.2020 </w:t>
      </w:r>
      <w:hyperlink w:history="0" r:id="rId99"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rPr>
        <w:t xml:space="preserve">, от 08.07.2024 </w:t>
      </w:r>
      <w:hyperlink w:history="0" r:id="rId100"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N 418</w:t>
        </w:r>
      </w:hyperlink>
      <w:r>
        <w:rPr>
          <w:sz w:val="24"/>
        </w:rPr>
        <w:t xml:space="preserve">)</w:t>
      </w:r>
    </w:p>
    <w:p>
      <w:pPr>
        <w:pStyle w:val="0"/>
        <w:spacing w:before="240" w:lineRule="auto"/>
        <w:ind w:firstLine="540"/>
        <w:jc w:val="both"/>
      </w:pPr>
      <w:r>
        <w:rPr>
          <w:sz w:val="24"/>
        </w:rPr>
        <w:t xml:space="preserve">3) утратил силу. - </w:t>
      </w:r>
      <w:hyperlink w:history="0" r:id="rId101"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w:t>
        </w:r>
      </w:hyperlink>
      <w:r>
        <w:rPr>
          <w:sz w:val="24"/>
        </w:rPr>
        <w:t xml:space="preserve"> Минэкономразвития России от 06.12.2017 N 651;</w:t>
      </w:r>
    </w:p>
    <w:p>
      <w:pPr>
        <w:pStyle w:val="0"/>
        <w:spacing w:before="240" w:lineRule="auto"/>
        <w:ind w:firstLine="540"/>
        <w:jc w:val="both"/>
      </w:pPr>
      <w:r>
        <w:rPr>
          <w:sz w:val="24"/>
        </w:rPr>
        <w:t xml:space="preserve">4) заключение договора с аудиторской организацией в срок не позднее 20 (двадцати) календарных дней с даты окончания отбора.</w:t>
      </w:r>
    </w:p>
    <w:p>
      <w:pPr>
        <w:pStyle w:val="0"/>
        <w:jc w:val="both"/>
      </w:pPr>
      <w:r>
        <w:rPr>
          <w:sz w:val="24"/>
        </w:rPr>
        <w:t xml:space="preserve">(в ред. Приказов Минэкономразвития России от 01.06.2020 </w:t>
      </w:r>
      <w:hyperlink w:history="0" r:id="rId102"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rPr>
        <w:t xml:space="preserve">, от 08.07.2024 </w:t>
      </w:r>
      <w:hyperlink w:history="0" r:id="rId103"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N 418</w:t>
        </w:r>
      </w:hyperlink>
      <w:r>
        <w:rPr>
          <w:sz w:val="24"/>
        </w:rPr>
        <w:t xml:space="preserve">)</w:t>
      </w:r>
    </w:p>
    <w:p>
      <w:pPr>
        <w:pStyle w:val="0"/>
        <w:spacing w:before="240" w:lineRule="auto"/>
        <w:ind w:firstLine="540"/>
        <w:jc w:val="both"/>
      </w:pPr>
      <w:r>
        <w:rPr>
          <w:sz w:val="24"/>
        </w:rPr>
        <w:t xml:space="preserve">4.5. Порядок отбора аудиторской организации для РГО, не указанных в </w:t>
      </w:r>
      <w:hyperlink w:history="0" w:anchor="P151" w:tooltip="4.3. В случае, если РГО отнесена в соответствии с частью 4 статьи 5 Закона об аудиторской деятельности к организациям, в отношении которых проводится обязательный аудит, договор на проведение обязательного аудита бухгалтерской (финансовой) отчетности РГО, заключается с аудиторской организацией, определенной путем проведения открытого конкурса, в порядке, установленном Законом о контрактной системе.">
        <w:r>
          <w:rPr>
            <w:sz w:val="24"/>
            <w:color w:val="0000ff"/>
          </w:rPr>
          <w:t xml:space="preserve">пункте 4.3</w:t>
        </w:r>
      </w:hyperlink>
      <w:r>
        <w:rPr>
          <w:sz w:val="24"/>
        </w:rPr>
        <w:t xml:space="preserve"> настоящих Требований, утверждается высшим или иным уполномоченным органом управления РГО и содержит, в том числе:</w:t>
      </w:r>
    </w:p>
    <w:p>
      <w:pPr>
        <w:pStyle w:val="0"/>
        <w:jc w:val="both"/>
      </w:pPr>
      <w:r>
        <w:rPr>
          <w:sz w:val="24"/>
        </w:rPr>
        <w:t xml:space="preserve">(в ред. Приказов Минэкономразвития России от 01.06.2020 </w:t>
      </w:r>
      <w:hyperlink w:history="0" r:id="rId104"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rPr>
        <w:t xml:space="preserve">, от 08.07.2024 </w:t>
      </w:r>
      <w:hyperlink w:history="0" r:id="rId105"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N 418</w:t>
        </w:r>
      </w:hyperlink>
      <w:r>
        <w:rPr>
          <w:sz w:val="24"/>
        </w:rPr>
        <w:t xml:space="preserve">)</w:t>
      </w:r>
    </w:p>
    <w:p>
      <w:pPr>
        <w:pStyle w:val="0"/>
        <w:spacing w:before="240" w:lineRule="auto"/>
        <w:ind w:firstLine="540"/>
        <w:jc w:val="both"/>
      </w:pPr>
      <w:r>
        <w:rPr>
          <w:sz w:val="24"/>
        </w:rPr>
        <w:t xml:space="preserve">1) требования к аудиторским организациям;</w:t>
      </w:r>
    </w:p>
    <w:p>
      <w:pPr>
        <w:pStyle w:val="0"/>
        <w:jc w:val="both"/>
      </w:pPr>
      <w:r>
        <w:rPr>
          <w:sz w:val="24"/>
        </w:rPr>
        <w:t xml:space="preserve">(в ред. Приказов Минэкономразвития России от 01.06.2020 </w:t>
      </w:r>
      <w:hyperlink w:history="0" r:id="rId106"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rPr>
        <w:t xml:space="preserve">, от 08.07.2024 </w:t>
      </w:r>
      <w:hyperlink w:history="0" r:id="rId107"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N 418</w:t>
        </w:r>
      </w:hyperlink>
      <w:r>
        <w:rPr>
          <w:sz w:val="24"/>
        </w:rPr>
        <w:t xml:space="preserve">)</w:t>
      </w:r>
    </w:p>
    <w:p>
      <w:pPr>
        <w:pStyle w:val="0"/>
        <w:spacing w:before="240" w:lineRule="auto"/>
        <w:ind w:firstLine="540"/>
        <w:jc w:val="both"/>
      </w:pPr>
      <w:r>
        <w:rPr>
          <w:sz w:val="24"/>
        </w:rPr>
        <w:t xml:space="preserve">2) требования к отбору;</w:t>
      </w:r>
    </w:p>
    <w:p>
      <w:pPr>
        <w:pStyle w:val="0"/>
        <w:spacing w:before="240" w:lineRule="auto"/>
        <w:ind w:firstLine="540"/>
        <w:jc w:val="both"/>
      </w:pPr>
      <w:r>
        <w:rPr>
          <w:sz w:val="24"/>
        </w:rPr>
        <w:t xml:space="preserve">3) процедуру проведения отбора;</w:t>
      </w:r>
    </w:p>
    <w:p>
      <w:pPr>
        <w:pStyle w:val="0"/>
        <w:spacing w:before="240" w:lineRule="auto"/>
        <w:ind w:firstLine="540"/>
        <w:jc w:val="both"/>
      </w:pPr>
      <w:r>
        <w:rPr>
          <w:sz w:val="24"/>
        </w:rPr>
        <w:t xml:space="preserve">4) требования к содержанию, форме, составу документов, представляемых аудиторской организацией для участия в отборе;</w:t>
      </w:r>
    </w:p>
    <w:p>
      <w:pPr>
        <w:pStyle w:val="0"/>
        <w:jc w:val="both"/>
      </w:pPr>
      <w:r>
        <w:rPr>
          <w:sz w:val="24"/>
        </w:rPr>
        <w:t xml:space="preserve">(в ред. Приказов Минэкономразвития России от 01.06.2020 </w:t>
      </w:r>
      <w:hyperlink w:history="0" r:id="rId108"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rPr>
        <w:t xml:space="preserve">, от 08.07.2024 </w:t>
      </w:r>
      <w:hyperlink w:history="0" r:id="rId109"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N 418</w:t>
        </w:r>
      </w:hyperlink>
      <w:r>
        <w:rPr>
          <w:sz w:val="24"/>
        </w:rPr>
        <w:t xml:space="preserve">)</w:t>
      </w:r>
    </w:p>
    <w:p>
      <w:pPr>
        <w:pStyle w:val="0"/>
        <w:spacing w:before="240" w:lineRule="auto"/>
        <w:ind w:firstLine="540"/>
        <w:jc w:val="both"/>
      </w:pPr>
      <w:r>
        <w:rPr>
          <w:sz w:val="24"/>
        </w:rPr>
        <w:t xml:space="preserve">5) порядок рассмотрения, критерии отбора, величины значимости этих критериев.</w:t>
      </w:r>
    </w:p>
    <w:p>
      <w:pPr>
        <w:pStyle w:val="0"/>
        <w:jc w:val="both"/>
      </w:pPr>
      <w:r>
        <w:rPr>
          <w:sz w:val="24"/>
        </w:rPr>
      </w:r>
    </w:p>
    <w:p>
      <w:pPr>
        <w:pStyle w:val="2"/>
        <w:outlineLvl w:val="1"/>
        <w:jc w:val="center"/>
      </w:pPr>
      <w:r>
        <w:rPr>
          <w:sz w:val="24"/>
        </w:rPr>
        <w:t xml:space="preserve">V. Порядок определения размера поручительств</w:t>
      </w:r>
    </w:p>
    <w:p>
      <w:pPr>
        <w:pStyle w:val="2"/>
        <w:jc w:val="center"/>
      </w:pPr>
      <w:r>
        <w:rPr>
          <w:sz w:val="24"/>
        </w:rPr>
        <w:t xml:space="preserve">и (или) независимых гарантий, планируемых к выдаче</w:t>
      </w:r>
    </w:p>
    <w:p>
      <w:pPr>
        <w:pStyle w:val="2"/>
        <w:jc w:val="center"/>
      </w:pPr>
      <w:r>
        <w:rPr>
          <w:sz w:val="24"/>
        </w:rPr>
        <w:t xml:space="preserve">(предоставлению) РГО в следующем финансовом году</w:t>
      </w:r>
    </w:p>
    <w:p>
      <w:pPr>
        <w:pStyle w:val="0"/>
        <w:jc w:val="both"/>
      </w:pPr>
      <w:r>
        <w:rPr>
          <w:sz w:val="24"/>
        </w:rPr>
      </w:r>
    </w:p>
    <w:p>
      <w:pPr>
        <w:pStyle w:val="0"/>
        <w:ind w:firstLine="540"/>
        <w:jc w:val="both"/>
      </w:pPr>
      <w:r>
        <w:rPr>
          <w:sz w:val="24"/>
        </w:rPr>
        <w:t xml:space="preserve">5.1. Размер поручительств и (или) независимых гарантий РГО, планируемых к выдаче в следующем финансовом году, устанавливается исходя из гарантийного капитала, действующего портфеля поручительств и (или) независимых гарантий и операционного лимита на вновь принятые условные обязательства кредитного характера на год (далее - операционный лимит на вновь принятые условные обязательства на год) с целью определения максимального размера поручительств и (или) независимых гарантий, которые могут быть предоставлены РГО по обязательствам субъектов МСП, физических лиц, применяющих специальный налоговый режим "Налог на профессиональный доход", и организаций инфраструктуры поддержки в следующем финансовом году.</w:t>
      </w:r>
    </w:p>
    <w:p>
      <w:pPr>
        <w:pStyle w:val="0"/>
        <w:jc w:val="both"/>
      </w:pPr>
      <w:r>
        <w:rPr>
          <w:sz w:val="24"/>
        </w:rPr>
        <w:t xml:space="preserve">(в ред. </w:t>
      </w:r>
      <w:hyperlink w:history="0" r:id="rId110"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При этом размер действующих поручительств и (или) независимых гарантий РГО должен превышать ее гарантийный капитал не менее чем в 3 (три) раза для РГО, являющихся получателями денежных средств на исполнение обязательств, и не менее чем в 1,5 (полтора) раза для иных РГО, но не более чем в 10 (десять) раз.</w:t>
      </w:r>
    </w:p>
    <w:p>
      <w:pPr>
        <w:pStyle w:val="0"/>
        <w:jc w:val="both"/>
      </w:pPr>
      <w:r>
        <w:rPr>
          <w:sz w:val="24"/>
        </w:rPr>
        <w:t xml:space="preserve">(в ред. Приказов Минэкономразвития России от 24.09.2021 </w:t>
      </w:r>
      <w:hyperlink w:history="0" r:id="rId111"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N 564</w:t>
        </w:r>
      </w:hyperlink>
      <w:r>
        <w:rPr>
          <w:sz w:val="24"/>
        </w:rPr>
        <w:t xml:space="preserve">, от 08.07.2024 </w:t>
      </w:r>
      <w:hyperlink w:history="0" r:id="rId112"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N 418</w:t>
        </w:r>
      </w:hyperlink>
      <w:r>
        <w:rPr>
          <w:sz w:val="24"/>
        </w:rPr>
        <w:t xml:space="preserve">)</w:t>
      </w:r>
    </w:p>
    <w:p>
      <w:pPr>
        <w:pStyle w:val="0"/>
        <w:spacing w:before="240" w:lineRule="auto"/>
        <w:ind w:firstLine="540"/>
        <w:jc w:val="both"/>
      </w:pPr>
      <w:r>
        <w:rPr>
          <w:sz w:val="24"/>
        </w:rPr>
        <w:t xml:space="preserve">Операционный лимит на вновь принятые условные обязательства на год рассчитывается исходя из:</w:t>
      </w:r>
    </w:p>
    <w:bookmarkStart w:id="180" w:name="P180"/>
    <w:bookmarkEnd w:id="180"/>
    <w:p>
      <w:pPr>
        <w:pStyle w:val="0"/>
        <w:spacing w:before="240" w:lineRule="auto"/>
        <w:ind w:firstLine="540"/>
        <w:jc w:val="both"/>
      </w:pPr>
      <w:r>
        <w:rPr>
          <w:sz w:val="24"/>
        </w:rPr>
        <w:t xml:space="preserve">1) прироста капитала с начала деятельности РГО (в случае наличия);</w:t>
      </w:r>
    </w:p>
    <w:p>
      <w:pPr>
        <w:pStyle w:val="0"/>
        <w:spacing w:before="240" w:lineRule="auto"/>
        <w:ind w:firstLine="540"/>
        <w:jc w:val="both"/>
      </w:pPr>
      <w:r>
        <w:rPr>
          <w:sz w:val="24"/>
        </w:rPr>
        <w:t xml:space="preserve">2) уровня ожидаемых потерь по вновь принятым обязательствам;</w:t>
      </w:r>
    </w:p>
    <w:p>
      <w:pPr>
        <w:pStyle w:val="0"/>
        <w:spacing w:before="240" w:lineRule="auto"/>
        <w:ind w:firstLine="540"/>
        <w:jc w:val="both"/>
      </w:pPr>
      <w:r>
        <w:rPr>
          <w:sz w:val="24"/>
        </w:rPr>
        <w:t xml:space="preserve">3) уровня ожидаемых выплат по действующим обязательствам;</w:t>
      </w:r>
    </w:p>
    <w:p>
      <w:pPr>
        <w:pStyle w:val="0"/>
        <w:spacing w:before="240" w:lineRule="auto"/>
        <w:ind w:firstLine="540"/>
        <w:jc w:val="both"/>
      </w:pPr>
      <w:r>
        <w:rPr>
          <w:sz w:val="24"/>
        </w:rPr>
        <w:t xml:space="preserve">4) доходов на следующий финансовый год от размещения гарантийного капитала и доходов от предоставления поручительств и (или) независимых гарантий;</w:t>
      </w:r>
    </w:p>
    <w:bookmarkStart w:id="184" w:name="P184"/>
    <w:bookmarkEnd w:id="184"/>
    <w:p>
      <w:pPr>
        <w:pStyle w:val="0"/>
        <w:spacing w:before="240" w:lineRule="auto"/>
        <w:ind w:firstLine="540"/>
        <w:jc w:val="both"/>
      </w:pPr>
      <w:r>
        <w:rPr>
          <w:sz w:val="24"/>
        </w:rPr>
        <w:t xml:space="preserve">5) планируемых операционных расходов в следующем финансовом году (включая налоговые выплаты).</w:t>
      </w:r>
    </w:p>
    <w:p>
      <w:pPr>
        <w:pStyle w:val="0"/>
        <w:spacing w:before="240" w:lineRule="auto"/>
        <w:ind w:firstLine="540"/>
        <w:jc w:val="both"/>
      </w:pPr>
      <w:r>
        <w:rPr>
          <w:sz w:val="24"/>
        </w:rPr>
        <w:t xml:space="preserve">Операционный лимит на вновь принятые условные обязательства на год рассчитывается с целью определения максимально допустимого риска условных обязательств РГО по обязательствам субъектов МСП, физических лиц, применяющих специальный налоговый режим "Налог на профессиональный доход", и организаций инфраструктуры поддержки в следующем финансовом году.</w:t>
      </w:r>
    </w:p>
    <w:p>
      <w:pPr>
        <w:pStyle w:val="0"/>
        <w:jc w:val="both"/>
      </w:pPr>
      <w:r>
        <w:rPr>
          <w:sz w:val="24"/>
        </w:rPr>
        <w:t xml:space="preserve">(в ред. </w:t>
      </w:r>
      <w:hyperlink w:history="0" r:id="rId113"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5.2. Формула подсчета операционного лимита РГО на вновь принятые условные обязательства на год приведена в </w:t>
      </w:r>
      <w:hyperlink w:history="0" w:anchor="P607" w:tooltip="ФОРМУЛА">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В целях подсчета операционного лимита на вновь принятые условные обязательства на год РГО планирует показатели, установленные </w:t>
      </w:r>
      <w:hyperlink w:history="0" w:anchor="P180" w:tooltip="1) прироста капитала с начала деятельности РГО (в случае наличия);">
        <w:r>
          <w:rPr>
            <w:sz w:val="24"/>
            <w:color w:val="0000ff"/>
          </w:rPr>
          <w:t xml:space="preserve">подпунктами 1</w:t>
        </w:r>
      </w:hyperlink>
      <w:r>
        <w:rPr>
          <w:sz w:val="24"/>
        </w:rPr>
        <w:t xml:space="preserve"> - </w:t>
      </w:r>
      <w:hyperlink w:history="0" w:anchor="P184" w:tooltip="5) планируемых операционных расходов в следующем финансовом году (включая налоговые выплаты).">
        <w:r>
          <w:rPr>
            <w:sz w:val="24"/>
            <w:color w:val="0000ff"/>
          </w:rPr>
          <w:t xml:space="preserve">5 пункта 5.1</w:t>
        </w:r>
      </w:hyperlink>
      <w:r>
        <w:rPr>
          <w:sz w:val="24"/>
        </w:rPr>
        <w:t xml:space="preserve"> настоящих Требований таким образом, чтобы значение операционного лимита на вновь принятые условные обязательства на год принимало положительное значение.</w:t>
      </w:r>
    </w:p>
    <w:p>
      <w:pPr>
        <w:pStyle w:val="0"/>
        <w:spacing w:before="240" w:lineRule="auto"/>
        <w:ind w:firstLine="540"/>
        <w:jc w:val="both"/>
      </w:pPr>
      <w:r>
        <w:rPr>
          <w:sz w:val="24"/>
        </w:rPr>
        <w:t xml:space="preserve">5.3. В целях обеспечения приемлемого уровня рисков РГО создает систему лимитов по операциям предоставления поручительств и (или) независимых гарантий по обязательствам субъектов МСП, физических лиц, применяющих специальный налоговый режим "Налог на профессиональный доход", и организаций инфраструктуры поддержки, которая включает в себя следующие лимиты:</w:t>
      </w:r>
    </w:p>
    <w:p>
      <w:pPr>
        <w:pStyle w:val="0"/>
        <w:jc w:val="both"/>
      </w:pPr>
      <w:r>
        <w:rPr>
          <w:sz w:val="24"/>
        </w:rPr>
        <w:t xml:space="preserve">(в ред. </w:t>
      </w:r>
      <w:hyperlink w:history="0" r:id="rId114"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1) общий операционный лимит условных обязательств;</w:t>
      </w:r>
    </w:p>
    <w:p>
      <w:pPr>
        <w:pStyle w:val="0"/>
        <w:jc w:val="both"/>
      </w:pPr>
      <w:r>
        <w:rPr>
          <w:sz w:val="24"/>
        </w:rPr>
        <w:t xml:space="preserve">(в ред. </w:t>
      </w:r>
      <w:hyperlink w:history="0" r:id="rId115"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Приказа</w:t>
        </w:r>
      </w:hyperlink>
      <w:r>
        <w:rPr>
          <w:sz w:val="24"/>
        </w:rPr>
        <w:t xml:space="preserve"> Минэкономразвития России от 31.10.2022 N 591)</w:t>
      </w:r>
    </w:p>
    <w:p>
      <w:pPr>
        <w:pStyle w:val="0"/>
        <w:spacing w:before="240" w:lineRule="auto"/>
        <w:ind w:firstLine="540"/>
        <w:jc w:val="both"/>
      </w:pPr>
      <w:r>
        <w:rPr>
          <w:sz w:val="24"/>
        </w:rPr>
        <w:t xml:space="preserve">Под общим операционным лимитом условных обязательств для целей настоящих Требований понимается сумма портфеля действующих поручительств и (или) независимых гарантий и операционного лимита на вновь принятые условные обязательства на год, то есть максимальный объем поручительств и (или) независимых гарантий, которые могут быть предоставлены РГО в обеспечение обязательств субъектов МСП, физических лиц, применяющих специальный налоговый режим "Налог на профессиональный доход", и организаций инфраструктуры поддержки по договорам с финансовыми организациями и (или) перед заказчиком.</w:t>
      </w:r>
    </w:p>
    <w:p>
      <w:pPr>
        <w:pStyle w:val="0"/>
        <w:jc w:val="both"/>
      </w:pPr>
      <w:r>
        <w:rPr>
          <w:sz w:val="24"/>
        </w:rPr>
        <w:t xml:space="preserve">(в ред. Приказов Минэкономразвития России от 06.12.2017 </w:t>
      </w:r>
      <w:hyperlink w:history="0" r:id="rId116"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rPr>
        <w:t xml:space="preserve">, от 07.09.2020 </w:t>
      </w:r>
      <w:hyperlink w:history="0" r:id="rId117"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 от 31.10.2022 </w:t>
      </w:r>
      <w:hyperlink w:history="0" r:id="rId118"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N 591</w:t>
        </w:r>
      </w:hyperlink>
      <w:r>
        <w:rPr>
          <w:sz w:val="24"/>
        </w:rPr>
        <w:t xml:space="preserve">)</w:t>
      </w:r>
    </w:p>
    <w:p>
      <w:pPr>
        <w:pStyle w:val="0"/>
        <w:spacing w:before="240" w:lineRule="auto"/>
        <w:ind w:firstLine="540"/>
        <w:jc w:val="both"/>
      </w:pPr>
      <w:r>
        <w:rPr>
          <w:sz w:val="24"/>
        </w:rPr>
        <w:t xml:space="preserve">2) операционный лимит на вновь принятые условные обязательства на год;</w:t>
      </w:r>
    </w:p>
    <w:p>
      <w:pPr>
        <w:pStyle w:val="0"/>
        <w:spacing w:before="240" w:lineRule="auto"/>
        <w:ind w:firstLine="540"/>
        <w:jc w:val="both"/>
      </w:pPr>
      <w:r>
        <w:rPr>
          <w:sz w:val="24"/>
        </w:rPr>
        <w:t xml:space="preserve">3) лимит условных обязательств на финансовую организацию (совокупность финансовых организаций).</w:t>
      </w:r>
    </w:p>
    <w:p>
      <w:pPr>
        <w:pStyle w:val="0"/>
        <w:spacing w:before="240" w:lineRule="auto"/>
        <w:ind w:firstLine="540"/>
        <w:jc w:val="both"/>
      </w:pPr>
      <w:r>
        <w:rPr>
          <w:sz w:val="24"/>
        </w:rPr>
        <w:t xml:space="preserve">5.4. РГО также вправе устанавливать лимиты:</w:t>
      </w:r>
    </w:p>
    <w:bookmarkStart w:id="198" w:name="P198"/>
    <w:bookmarkEnd w:id="198"/>
    <w:p>
      <w:pPr>
        <w:pStyle w:val="0"/>
        <w:spacing w:before="240" w:lineRule="auto"/>
        <w:ind w:firstLine="540"/>
        <w:jc w:val="both"/>
      </w:pPr>
      <w:r>
        <w:rPr>
          <w:sz w:val="24"/>
        </w:rPr>
        <w:t xml:space="preserve">1) лимиты на отдельные категории субъектов МСП, физических лиц, применяющих специальный налоговый режим "Налог на профессиональный доход", организации инфраструктуры поддержки (в том числе группы связанных компаний);</w:t>
      </w:r>
    </w:p>
    <w:p>
      <w:pPr>
        <w:pStyle w:val="0"/>
        <w:jc w:val="both"/>
      </w:pPr>
      <w:r>
        <w:rPr>
          <w:sz w:val="24"/>
        </w:rPr>
        <w:t xml:space="preserve">(в ред. </w:t>
      </w:r>
      <w:hyperlink w:history="0" r:id="rId119"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2) лимиты на отдельные виды обязательств.</w:t>
      </w:r>
    </w:p>
    <w:p>
      <w:pPr>
        <w:pStyle w:val="0"/>
        <w:spacing w:before="240" w:lineRule="auto"/>
        <w:ind w:firstLine="540"/>
        <w:jc w:val="both"/>
      </w:pPr>
      <w:r>
        <w:rPr>
          <w:sz w:val="24"/>
        </w:rPr>
        <w:t xml:space="preserve">5.5. Операционный лимит на вновь принятые условные обязательства на определенный период устанавливается высшим или иным уполномоченным органом управления РГО с учетом непревышения уровня ожидаемых выплат по поручительствам и (или) независимым гарантиям, предоставленным в определенном периоде, над доходом, получаемым от деятельности РГО за аналогичный период.</w:t>
      </w:r>
    </w:p>
    <w:p>
      <w:pPr>
        <w:pStyle w:val="0"/>
        <w:spacing w:before="240" w:lineRule="auto"/>
        <w:ind w:firstLine="540"/>
        <w:jc w:val="both"/>
      </w:pPr>
      <w:r>
        <w:rPr>
          <w:sz w:val="24"/>
        </w:rPr>
        <w:t xml:space="preserve">5.6. Пересчет операционного лимита РГО на вновь принятые условные обязательства на год в рамках установленного срока его действия осуществляется при изменении базы расчета, уточнении фактических показателей доходов от размещения временно свободных средств РГО и вознаграждения за выданные поручительства, суммы операционных расходов, фактического уровня исполнения обязательств субъектами МСП, физическими лицами, применяющими специальный налоговый режим "Налог на профессиональный доход", организациями инфраструктуры поддержки по поручительствам и (или) независимым гарантиям, предоставленным в следующем финансовом году или иных экономических факторов, оказывающих или способных оказать в будущем влияние на деятельность РГО.</w:t>
      </w:r>
    </w:p>
    <w:p>
      <w:pPr>
        <w:pStyle w:val="0"/>
        <w:jc w:val="both"/>
      </w:pPr>
      <w:r>
        <w:rPr>
          <w:sz w:val="24"/>
        </w:rPr>
        <w:t xml:space="preserve">(в ред. </w:t>
      </w:r>
      <w:hyperlink w:history="0" r:id="rId120"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5.7. Лимит условных обязательств на финансовую организацию (совокупность финансовых организаций) устанавливается в целях ограничения объема возможных выплат по поручительствам и (или) независимым гарантиям, предоставленным финансовой организации (совокупности финансовых организаций).</w:t>
      </w:r>
    </w:p>
    <w:p>
      <w:pPr>
        <w:pStyle w:val="0"/>
        <w:spacing w:before="240" w:lineRule="auto"/>
        <w:ind w:firstLine="540"/>
        <w:jc w:val="both"/>
      </w:pPr>
      <w:r>
        <w:rPr>
          <w:sz w:val="24"/>
        </w:rPr>
        <w:t xml:space="preserve">5.8. Лимит условных обязательств на финансовую организацию устанавливается высшим или иным уполномоченным органом управления РГО на 1 (первое) число текущего финансового года и не должен превышать:</w:t>
      </w:r>
    </w:p>
    <w:p>
      <w:pPr>
        <w:pStyle w:val="0"/>
        <w:spacing w:before="240" w:lineRule="auto"/>
        <w:ind w:firstLine="540"/>
        <w:jc w:val="both"/>
      </w:pPr>
      <w:r>
        <w:rPr>
          <w:sz w:val="24"/>
        </w:rPr>
        <w:t xml:space="preserve">1) 30% от общего операционного лимита условных обязательств для РГО с гарантийным капиталом более 700 млн. рублей;</w:t>
      </w:r>
    </w:p>
    <w:p>
      <w:pPr>
        <w:pStyle w:val="0"/>
        <w:spacing w:before="240" w:lineRule="auto"/>
        <w:ind w:firstLine="540"/>
        <w:jc w:val="both"/>
      </w:pPr>
      <w:r>
        <w:rPr>
          <w:sz w:val="24"/>
        </w:rPr>
        <w:t xml:space="preserve">2) 40% от общего операционного лимита условных обязательств для РГО с гарантийным капиталом более 300 млн. рублей и менее 700 млн. рублей;</w:t>
      </w:r>
    </w:p>
    <w:p>
      <w:pPr>
        <w:pStyle w:val="0"/>
        <w:spacing w:before="240" w:lineRule="auto"/>
        <w:ind w:firstLine="540"/>
        <w:jc w:val="both"/>
      </w:pPr>
      <w:r>
        <w:rPr>
          <w:sz w:val="24"/>
        </w:rPr>
        <w:t xml:space="preserve">3) 60% от общего операционного лимита условных обязательств для РГО с гарантийным капиталом менее 300 млн. рублей.</w:t>
      </w:r>
    </w:p>
    <w:p>
      <w:pPr>
        <w:pStyle w:val="0"/>
        <w:spacing w:before="240" w:lineRule="auto"/>
        <w:ind w:firstLine="540"/>
        <w:jc w:val="both"/>
      </w:pPr>
      <w:r>
        <w:rPr>
          <w:sz w:val="24"/>
        </w:rPr>
        <w:t xml:space="preserve">5.9. Изменение лимитов условных обязательств на финансовую организацию осуществляется высшим или иным уполномоченным органом управления РГО в следующих случаях:</w:t>
      </w:r>
    </w:p>
    <w:p>
      <w:pPr>
        <w:pStyle w:val="0"/>
        <w:spacing w:before="240" w:lineRule="auto"/>
        <w:ind w:firstLine="540"/>
        <w:jc w:val="both"/>
      </w:pPr>
      <w:r>
        <w:rPr>
          <w:sz w:val="24"/>
        </w:rPr>
        <w:t xml:space="preserve">1) пересчета операционного лимита на вновь принятые условные обязательства на год;</w:t>
      </w:r>
    </w:p>
    <w:bookmarkStart w:id="211" w:name="P211"/>
    <w:bookmarkEnd w:id="211"/>
    <w:p>
      <w:pPr>
        <w:pStyle w:val="0"/>
        <w:spacing w:before="240" w:lineRule="auto"/>
        <w:ind w:firstLine="540"/>
        <w:jc w:val="both"/>
      </w:pPr>
      <w:r>
        <w:rPr>
          <w:sz w:val="24"/>
        </w:rPr>
        <w:t xml:space="preserve">2) использования установленного лимита условных обязательств на финансовую организацию в размере менее 50% по итогам 2 (двух) кварталов текущего финансового года;</w:t>
      </w:r>
    </w:p>
    <w:p>
      <w:pPr>
        <w:pStyle w:val="0"/>
        <w:spacing w:before="240" w:lineRule="auto"/>
        <w:ind w:firstLine="540"/>
        <w:jc w:val="both"/>
      </w:pPr>
      <w:r>
        <w:rPr>
          <w:sz w:val="24"/>
        </w:rPr>
        <w:t xml:space="preserve">3) поступления заявления финансовой организации об изменении лимита;</w:t>
      </w:r>
    </w:p>
    <w:bookmarkStart w:id="213" w:name="P213"/>
    <w:bookmarkEnd w:id="213"/>
    <w:p>
      <w:pPr>
        <w:pStyle w:val="0"/>
        <w:spacing w:before="240" w:lineRule="auto"/>
        <w:ind w:firstLine="540"/>
        <w:jc w:val="both"/>
      </w:pPr>
      <w:r>
        <w:rPr>
          <w:sz w:val="24"/>
        </w:rPr>
        <w:t xml:space="preserve">4) использования установленного лимита условных обязательств на финансовую организацию в размере 80% в текущем финансовом году;</w:t>
      </w:r>
    </w:p>
    <w:bookmarkStart w:id="214" w:name="P214"/>
    <w:bookmarkEnd w:id="214"/>
    <w:p>
      <w:pPr>
        <w:pStyle w:val="0"/>
        <w:spacing w:before="240" w:lineRule="auto"/>
        <w:ind w:firstLine="540"/>
        <w:jc w:val="both"/>
      </w:pPr>
      <w:r>
        <w:rPr>
          <w:sz w:val="24"/>
        </w:rPr>
        <w:t xml:space="preserve">5) превышения финансовой организацией допустимых размеров убытков в портфеле РГО. Допустимый размер убытков в отношении отдельной финансовой организации РГО устанавливается самостоятельно;</w:t>
      </w:r>
    </w:p>
    <w:p>
      <w:pPr>
        <w:pStyle w:val="0"/>
        <w:spacing w:before="240" w:lineRule="auto"/>
        <w:ind w:firstLine="540"/>
        <w:jc w:val="both"/>
      </w:pPr>
      <w:r>
        <w:rPr>
          <w:sz w:val="24"/>
        </w:rPr>
        <w:t xml:space="preserve">6) перераспределения лимитов вследствие уменьшения лимитов на определенные финансовые организации.</w:t>
      </w:r>
    </w:p>
    <w:p>
      <w:pPr>
        <w:pStyle w:val="0"/>
        <w:spacing w:before="240" w:lineRule="auto"/>
        <w:ind w:firstLine="540"/>
        <w:jc w:val="both"/>
      </w:pPr>
      <w:r>
        <w:rPr>
          <w:sz w:val="24"/>
        </w:rPr>
        <w:t xml:space="preserve">5.9.1. По решению высшего или иного уполномоченного органа управления РГО лимит условных обязательств на финансовую организацию может быть перераспределен по основаниям, установленным </w:t>
      </w:r>
      <w:hyperlink w:history="0" w:anchor="P211" w:tooltip="2) использования установленного лимита условных обязательств на финансовую организацию в размере менее 50% по итогам 2 (двух) кварталов текущего финансового года;">
        <w:r>
          <w:rPr>
            <w:sz w:val="24"/>
            <w:color w:val="0000ff"/>
          </w:rPr>
          <w:t xml:space="preserve">подпунктами 2</w:t>
        </w:r>
      </w:hyperlink>
      <w:r>
        <w:rPr>
          <w:sz w:val="24"/>
        </w:rPr>
        <w:t xml:space="preserve">, </w:t>
      </w:r>
      <w:hyperlink w:history="0" w:anchor="P213" w:tooltip="4) использования установленного лимита условных обязательств на финансовую организацию в размере 80% в текущем финансовом году;">
        <w:r>
          <w:rPr>
            <w:sz w:val="24"/>
            <w:color w:val="0000ff"/>
          </w:rPr>
          <w:t xml:space="preserve">4</w:t>
        </w:r>
      </w:hyperlink>
      <w:r>
        <w:rPr>
          <w:sz w:val="24"/>
        </w:rPr>
        <w:t xml:space="preserve">, </w:t>
      </w:r>
      <w:hyperlink w:history="0" w:anchor="P214" w:tooltip="5) превышения финансовой организацией допустимых размеров убытков в портфеле РГО. Допустимый размер убытков в отношении отдельной финансовой организации РГО устанавливается самостоятельно;">
        <w:r>
          <w:rPr>
            <w:sz w:val="24"/>
            <w:color w:val="0000ff"/>
          </w:rPr>
          <w:t xml:space="preserve">5 пункта 5.9</w:t>
        </w:r>
      </w:hyperlink>
      <w:r>
        <w:rPr>
          <w:sz w:val="24"/>
        </w:rPr>
        <w:t xml:space="preserve"> настоящих Требований, на кредитные организации, определенные в качестве системно значимых на основании методики, установленной нормативным актом Банка России в соответствии с </w:t>
      </w:r>
      <w:hyperlink w:history="0" r:id="rId121" w:tooltip="Федеральный закон от 10.07.2002 N 86-ФЗ (ред. от 31.07.2025) &quot;О Центральном банке Российской Федерации (Банке России)&quot; (с изм. и доп., вступ. в силу с 01.10.2025) {КонсультантПлюс}">
        <w:r>
          <w:rPr>
            <w:sz w:val="24"/>
            <w:color w:val="0000ff"/>
          </w:rPr>
          <w:t xml:space="preserve">частью шестой статьи 57</w:t>
        </w:r>
      </w:hyperlink>
      <w:r>
        <w:rPr>
          <w:sz w:val="24"/>
        </w:rPr>
        <w:t xml:space="preserve"> Федерального закона от 10 июля 2002 г. N 86-ФЗ "О Центральном банке Российской Федерации (Банке России)" (Собрание законодательства Российской Федерации, 2002, N 28, ст. 2790), и не должен превышать 70% от общего операционного лимита условных обязательств РГО.</w:t>
      </w:r>
    </w:p>
    <w:p>
      <w:pPr>
        <w:pStyle w:val="0"/>
        <w:jc w:val="both"/>
      </w:pPr>
      <w:r>
        <w:rPr>
          <w:sz w:val="24"/>
        </w:rPr>
        <w:t xml:space="preserve">(п. 5.9.1 введен </w:t>
      </w:r>
      <w:hyperlink w:history="0" r:id="rId122"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Приказом</w:t>
        </w:r>
      </w:hyperlink>
      <w:r>
        <w:rPr>
          <w:sz w:val="24"/>
        </w:rPr>
        <w:t xml:space="preserve"> Минэкономразвития России от 31.10.2022 N 591)</w:t>
      </w:r>
    </w:p>
    <w:p>
      <w:pPr>
        <w:pStyle w:val="0"/>
        <w:spacing w:before="240" w:lineRule="auto"/>
        <w:ind w:firstLine="540"/>
        <w:jc w:val="both"/>
      </w:pPr>
      <w:r>
        <w:rPr>
          <w:sz w:val="24"/>
        </w:rPr>
        <w:t xml:space="preserve">5.10. Размер поручительства и (или) независимой гарантии, предоставляемого РГО, должен быть выражен в российских рублях.</w:t>
      </w:r>
    </w:p>
    <w:p>
      <w:pPr>
        <w:pStyle w:val="0"/>
        <w:spacing w:before="240" w:lineRule="auto"/>
        <w:ind w:firstLine="540"/>
        <w:jc w:val="both"/>
      </w:pPr>
      <w:r>
        <w:rPr>
          <w:sz w:val="24"/>
        </w:rPr>
        <w:t xml:space="preserve">5.11. Информация о размерах поручительств и (или) независимых гарантий, планируемых к выдаче (предоставлению) РГО в следующем финансовом году, предоставляется в АО "Корпорация "МСП" с использованием автоматизированной информационной системы "Мониторинг МСП" (</w:t>
      </w:r>
      <w:hyperlink w:history="0" r:id="rId123">
        <w:r>
          <w:rPr>
            <w:sz w:val="24"/>
            <w:color w:val="0000ff"/>
          </w:rPr>
          <w:t xml:space="preserve">http://monitoring.corpmsp.ru</w:t>
        </w:r>
      </w:hyperlink>
      <w:r>
        <w:rPr>
          <w:sz w:val="24"/>
        </w:rPr>
        <w:t xml:space="preserve">) до 15 декабря текущего финансового года.</w:t>
      </w:r>
    </w:p>
    <w:p>
      <w:pPr>
        <w:pStyle w:val="0"/>
        <w:jc w:val="both"/>
      </w:pPr>
      <w:r>
        <w:rPr>
          <w:sz w:val="24"/>
        </w:rPr>
        <w:t xml:space="preserve">(в ред. </w:t>
      </w:r>
      <w:hyperlink w:history="0" r:id="rId124"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5.12. Размеры поручительств и (или) независимых гарантий, планируемых к выдаче (предоставлению) РГО в следующем финансовом году, размещаются на официальном сайте АО "Корпорация МСП" в сети "Интернет".</w:t>
      </w:r>
    </w:p>
    <w:p>
      <w:pPr>
        <w:pStyle w:val="0"/>
        <w:jc w:val="both"/>
      </w:pPr>
      <w:r>
        <w:rPr>
          <w:sz w:val="24"/>
        </w:rPr>
      </w:r>
    </w:p>
    <w:p>
      <w:pPr>
        <w:pStyle w:val="2"/>
        <w:outlineLvl w:val="1"/>
        <w:jc w:val="center"/>
      </w:pPr>
      <w:r>
        <w:rPr>
          <w:sz w:val="24"/>
        </w:rPr>
        <w:t xml:space="preserve">VI. Порядок определения допустимого размера</w:t>
      </w:r>
    </w:p>
    <w:p>
      <w:pPr>
        <w:pStyle w:val="2"/>
        <w:jc w:val="center"/>
      </w:pPr>
      <w:r>
        <w:rPr>
          <w:sz w:val="24"/>
        </w:rPr>
        <w:t xml:space="preserve">убытков в связи с исполнением обязательств РГО по договорам</w:t>
      </w:r>
    </w:p>
    <w:p>
      <w:pPr>
        <w:pStyle w:val="2"/>
        <w:jc w:val="center"/>
      </w:pPr>
      <w:r>
        <w:rPr>
          <w:sz w:val="24"/>
        </w:rPr>
        <w:t xml:space="preserve">поручительства и (или) независимых гарантий, обеспечивающим</w:t>
      </w:r>
    </w:p>
    <w:p>
      <w:pPr>
        <w:pStyle w:val="2"/>
        <w:jc w:val="center"/>
      </w:pPr>
      <w:r>
        <w:rPr>
          <w:sz w:val="24"/>
        </w:rPr>
        <w:t xml:space="preserve">исполнение обязательств субъектов МСП, физических лиц, применяющих</w:t>
      </w:r>
    </w:p>
    <w:p>
      <w:pPr>
        <w:pStyle w:val="2"/>
        <w:jc w:val="center"/>
      </w:pPr>
      <w:r>
        <w:rPr>
          <w:sz w:val="24"/>
        </w:rPr>
        <w:t xml:space="preserve">специальный налоговый режим "Налог на профессиональный доход",</w:t>
      </w:r>
    </w:p>
    <w:p>
      <w:pPr>
        <w:pStyle w:val="2"/>
        <w:jc w:val="center"/>
      </w:pPr>
      <w:r>
        <w:rPr>
          <w:sz w:val="24"/>
        </w:rPr>
        <w:t xml:space="preserve">и (или) организаций инфраструктуры поддержки</w:t>
      </w:r>
    </w:p>
    <w:p>
      <w:pPr>
        <w:pStyle w:val="0"/>
        <w:jc w:val="center"/>
      </w:pPr>
      <w:r>
        <w:rPr>
          <w:sz w:val="24"/>
        </w:rPr>
        <w:t xml:space="preserve">(в ред. </w:t>
      </w:r>
      <w:hyperlink w:history="0" r:id="rId125"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jc w:val="both"/>
      </w:pPr>
      <w:r>
        <w:rPr>
          <w:sz w:val="24"/>
        </w:rPr>
      </w:r>
    </w:p>
    <w:p>
      <w:pPr>
        <w:pStyle w:val="0"/>
        <w:ind w:firstLine="540"/>
        <w:jc w:val="both"/>
      </w:pPr>
      <w:r>
        <w:rPr>
          <w:sz w:val="24"/>
        </w:rPr>
        <w:t xml:space="preserve">6.1. Допустимый размер убытков в связи с исполнением обязательств РГО по договорам поручительства и (или) независимых гарантий, обеспечивающим исполнение обязательств субъектов МСП, а также физических лиц, применяющих специальный налоговый режим "Налог на профессиональный доход", и (или) организаций инфраструктуры поддержки (далее - допустимый размер убытков), устанавливается ежеквартально по состоянию на первое число месяца отчетного квартала на основании данных Центрального Банка Российской Федерации, публикуемых на официальном сайте </w:t>
      </w:r>
      <w:hyperlink w:history="0" r:id="rId126">
        <w:r>
          <w:rPr>
            <w:sz w:val="24"/>
            <w:color w:val="0000ff"/>
          </w:rPr>
          <w:t xml:space="preserve">www.cbr.ru</w:t>
        </w:r>
      </w:hyperlink>
      <w:r>
        <w:rPr>
          <w:sz w:val="24"/>
        </w:rPr>
        <w:t xml:space="preserve"> в сети "Интернет" в соответствии с </w:t>
      </w:r>
      <w:hyperlink w:history="0" r:id="rId127" w:tooltip="Федеральный закон от 10.07.2002 N 86-ФЗ (ред. от 31.07.2025) &quot;О Центральном банке Российской Федерации (Банке России)&quot; (с изм. и доп., вступ. в силу с 01.10.2025) {КонсультантПлюс}">
        <w:r>
          <w:rPr>
            <w:sz w:val="24"/>
            <w:color w:val="0000ff"/>
          </w:rPr>
          <w:t xml:space="preserve">пунктом 18 статьи 4</w:t>
        </w:r>
      </w:hyperlink>
      <w:r>
        <w:rPr>
          <w:sz w:val="24"/>
        </w:rPr>
        <w:t xml:space="preserve"> Федерального закона от 10 июля 2002 г. N 86-ФЗ "О Центральном Банке Российской Федерации (Банке России)" (Собрание законодательства Российской Федерации, 2002, N 28, ст. 2790; 2003, N 2, ст. 157; N 52, ст. 5029, 5032, 5038, 5277; 2004, N 27, ст. 2711; N 31, ст. 3233; 2005, N 25, ст. 2426; N 30, ст. 3101; 2006, N 19, ст. 2061; N 25, ст. 2648; 2007, N 1, ст. 9, 10; N 10, ст. 1151; N 18, ст. 2117; 2008, N 42, ст. 4696, 4699; N 44, ст. 4982; N 52, ст. 6229, 6231; 2009, N 1, ст. 25; N 29, ст. 3618, 3629; N 39, ст. 4532; N 48, ст. 5731; 2010, N 40, ст. 4971; N 45, ст. 5756; 2011, N 7, ст. 907; N 27, ст. 3873; N 43, ст. 5973; N 48, ст. 6728; 2012, N 50, ст. 6954; N 53, ст. 7591, 7607; 2013, N 11, ст. 1076; N 14, ст. 1649; N 19, ст. 2329; N 27, ст. 3438, 3476, 3477; N 30, ст. 4084; N 49, ст. 6336; N 51, ст. 6695, 6699; N 52, ст. 6975; 2014, N 19, ст. 2311, 2317; N 26, ст. 3395; N 27, ст. 3634; N 30, ст. 4219; N 40, ст. 5318; N 45, ст. 6154; N 52, ст. 7543; 2015, N 1, ст. 4, 37; N 27, ст. 3958, 4001; N 29, ст. 4348, 4357; N 41, ст. 5639; N 48, ст. 6699; 2016, N 1, ст. 23, 46, 50; N 26, ст. 3891; N 27, ст. 4225, 4273, 4295) (далее - Закон о Банке России), на уровне просроченной задолженности в общем объеме задолженности по кредитам, предоставленным субъектам МСП (в целом по Российской Федерации).</w:t>
      </w:r>
    </w:p>
    <w:p>
      <w:pPr>
        <w:pStyle w:val="0"/>
        <w:jc w:val="both"/>
      </w:pPr>
      <w:r>
        <w:rPr>
          <w:sz w:val="24"/>
        </w:rPr>
        <w:t xml:space="preserve">(в ред. Приказов Минэкономразвития России от 06.12.2017 </w:t>
      </w:r>
      <w:hyperlink w:history="0" r:id="rId128"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rPr>
        <w:t xml:space="preserve">, от 07.09.2020 </w:t>
      </w:r>
      <w:hyperlink w:history="0" r:id="rId129"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w:t>
      </w:r>
    </w:p>
    <w:p>
      <w:pPr>
        <w:pStyle w:val="0"/>
        <w:spacing w:before="240" w:lineRule="auto"/>
        <w:ind w:firstLine="540"/>
        <w:jc w:val="both"/>
      </w:pPr>
      <w:r>
        <w:rPr>
          <w:sz w:val="24"/>
        </w:rPr>
        <w:t xml:space="preserve">Для целей настоящих Требований допустимый размер убытков рассчитывается как отношение просроченной задолженности по кредитам, предоставленным субъектам МСП в рублях, иностранной валюте и драгоценных металлах, к задолженности по таким кредитам (в целом по Российской Федерации).</w:t>
      </w:r>
    </w:p>
    <w:p>
      <w:pPr>
        <w:pStyle w:val="0"/>
        <w:jc w:val="both"/>
      </w:pPr>
      <w:r>
        <w:rPr>
          <w:sz w:val="24"/>
        </w:rPr>
        <w:t xml:space="preserve">(абзац введен </w:t>
      </w:r>
      <w:hyperlink w:history="0" r:id="rId130"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Приказом</w:t>
        </w:r>
      </w:hyperlink>
      <w:r>
        <w:rPr>
          <w:sz w:val="24"/>
        </w:rPr>
        <w:t xml:space="preserve"> Минэкономразвития России от 06.12.2017 N 651)</w:t>
      </w:r>
    </w:p>
    <w:p>
      <w:pPr>
        <w:pStyle w:val="0"/>
        <w:spacing w:before="240" w:lineRule="auto"/>
        <w:ind w:firstLine="540"/>
        <w:jc w:val="both"/>
      </w:pPr>
      <w:r>
        <w:rPr>
          <w:sz w:val="24"/>
        </w:rPr>
        <w:t xml:space="preserve">6.2. Фактический размер убытков в связи с исполнением обязательств РГО по договорам поручительства и (или) независимых гарантий, обеспечивающим исполнение обязательств участников закупок или субъектов МСП, а также физических лиц, применяющих специальный налоговый режим "Налог на профессиональный доход", и (или) организаций инфраструктуры поддержки по Договорам (далее - фактический размер убытков), рассчитывается как отношение объема исполненных обязательств РГО по договорам поручительства и (или) независимых гарантий за вычетом фактически полученных от заемщиков (его поручителей, залогодателей) средств к объему выданных (предоставленных) поручительств и (или) независимых гарантий за весь период деятельности РГО.</w:t>
      </w:r>
    </w:p>
    <w:p>
      <w:pPr>
        <w:pStyle w:val="0"/>
        <w:jc w:val="both"/>
      </w:pPr>
      <w:r>
        <w:rPr>
          <w:sz w:val="24"/>
        </w:rPr>
        <w:t xml:space="preserve">(в ред. Приказов Минэкономразвития России от 06.12.2017 </w:t>
      </w:r>
      <w:hyperlink w:history="0" r:id="rId131"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rPr>
        <w:t xml:space="preserve">, от 07.09.2020 </w:t>
      </w:r>
      <w:hyperlink w:history="0" r:id="rId132"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w:t>
      </w:r>
    </w:p>
    <w:p>
      <w:pPr>
        <w:pStyle w:val="0"/>
        <w:spacing w:before="240" w:lineRule="auto"/>
        <w:ind w:firstLine="540"/>
        <w:jc w:val="both"/>
      </w:pPr>
      <w:r>
        <w:rPr>
          <w:sz w:val="24"/>
        </w:rPr>
        <w:t xml:space="preserve">6.3. Фактический размер убытков рассчитывается ежеквартально нарастающим итогом на первое число месяца отчетного квартала.</w:t>
      </w:r>
    </w:p>
    <w:p>
      <w:pPr>
        <w:pStyle w:val="0"/>
        <w:spacing w:before="240" w:lineRule="auto"/>
        <w:ind w:firstLine="540"/>
        <w:jc w:val="both"/>
      </w:pPr>
      <w:r>
        <w:rPr>
          <w:sz w:val="24"/>
        </w:rPr>
        <w:t xml:space="preserve">6.4. Утратил силу. - </w:t>
      </w:r>
      <w:hyperlink w:history="0" r:id="rId133"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w:t>
        </w:r>
      </w:hyperlink>
      <w:r>
        <w:rPr>
          <w:sz w:val="24"/>
        </w:rPr>
        <w:t xml:space="preserve"> Минэкономразвития России от 06.12.2017 N 651.</w:t>
      </w:r>
    </w:p>
    <w:p>
      <w:pPr>
        <w:pStyle w:val="0"/>
        <w:jc w:val="both"/>
      </w:pPr>
      <w:r>
        <w:rPr>
          <w:sz w:val="24"/>
        </w:rPr>
      </w:r>
    </w:p>
    <w:p>
      <w:pPr>
        <w:pStyle w:val="2"/>
        <w:outlineLvl w:val="1"/>
        <w:jc w:val="center"/>
      </w:pPr>
      <w:r>
        <w:rPr>
          <w:sz w:val="24"/>
        </w:rPr>
        <w:t xml:space="preserve">VII. Порядок отбора субъектов МСП, физических лиц, применяющих</w:t>
      </w:r>
    </w:p>
    <w:p>
      <w:pPr>
        <w:pStyle w:val="2"/>
        <w:jc w:val="center"/>
      </w:pPr>
      <w:r>
        <w:rPr>
          <w:sz w:val="24"/>
        </w:rPr>
        <w:t xml:space="preserve">специальный налоговый режим "Налог на профессиональный доход",</w:t>
      </w:r>
    </w:p>
    <w:p>
      <w:pPr>
        <w:pStyle w:val="2"/>
        <w:jc w:val="center"/>
      </w:pPr>
      <w:r>
        <w:rPr>
          <w:sz w:val="24"/>
        </w:rPr>
        <w:t xml:space="preserve">организаций инфраструктуры поддержки, кредитных организаций</w:t>
      </w:r>
    </w:p>
    <w:p>
      <w:pPr>
        <w:pStyle w:val="2"/>
        <w:jc w:val="center"/>
      </w:pPr>
      <w:r>
        <w:rPr>
          <w:sz w:val="24"/>
        </w:rPr>
        <w:t xml:space="preserve">и иных финансовых организаций, а также требования к ним</w:t>
      </w:r>
    </w:p>
    <w:p>
      <w:pPr>
        <w:pStyle w:val="2"/>
        <w:jc w:val="center"/>
      </w:pPr>
      <w:r>
        <w:rPr>
          <w:sz w:val="24"/>
        </w:rPr>
        <w:t xml:space="preserve">и условия взаимодействия РГО с ними при предоставлении</w:t>
      </w:r>
    </w:p>
    <w:p>
      <w:pPr>
        <w:pStyle w:val="2"/>
        <w:jc w:val="center"/>
      </w:pPr>
      <w:r>
        <w:rPr>
          <w:sz w:val="24"/>
        </w:rPr>
        <w:t xml:space="preserve">поручительств и (или) независимых гарантий</w:t>
      </w:r>
    </w:p>
    <w:p>
      <w:pPr>
        <w:pStyle w:val="0"/>
        <w:jc w:val="center"/>
      </w:pPr>
      <w:r>
        <w:rPr>
          <w:sz w:val="24"/>
        </w:rPr>
        <w:t xml:space="preserve">(в ред. </w:t>
      </w:r>
      <w:hyperlink w:history="0" r:id="rId134"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jc w:val="both"/>
      </w:pPr>
      <w:r>
        <w:rPr>
          <w:sz w:val="24"/>
        </w:rPr>
      </w:r>
    </w:p>
    <w:p>
      <w:pPr>
        <w:pStyle w:val="0"/>
        <w:ind w:firstLine="540"/>
        <w:jc w:val="both"/>
      </w:pPr>
      <w:r>
        <w:rPr>
          <w:sz w:val="24"/>
        </w:rPr>
        <w:t xml:space="preserve">7.1. Поручительство и (или) независимая гарантия РГО предоставляется, если субъект МСП и (или) организация инфраструктуры поддержки отвечают следующим критериям:</w:t>
      </w:r>
    </w:p>
    <w:p>
      <w:pPr>
        <w:pStyle w:val="0"/>
        <w:spacing w:before="240" w:lineRule="auto"/>
        <w:ind w:firstLine="540"/>
        <w:jc w:val="both"/>
      </w:pPr>
      <w:r>
        <w:rPr>
          <w:sz w:val="24"/>
        </w:rPr>
        <w:t xml:space="preserve">1) по состоянию на дату не ранее 30 (тридцати) календарных дней до даты заключения договора (соглашения) о представлении поручительства и (или) независимой гарантии отсутствует просроченная задолженность по налогам, сборам и иным обязательным платежам в бюджеты бюджетной системы Российской Федерации, превышающая 50 (пятьдесят) тыс. рублей;</w:t>
      </w:r>
    </w:p>
    <w:p>
      <w:pPr>
        <w:pStyle w:val="0"/>
        <w:jc w:val="both"/>
      </w:pPr>
      <w:r>
        <w:rPr>
          <w:sz w:val="24"/>
        </w:rPr>
        <w:t xml:space="preserve">(пп. 1 в ред. </w:t>
      </w:r>
      <w:hyperlink w:history="0" r:id="rId135"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Приказа</w:t>
        </w:r>
      </w:hyperlink>
      <w:r>
        <w:rPr>
          <w:sz w:val="24"/>
        </w:rPr>
        <w:t xml:space="preserve"> Минэкономразвития России от 17.06.2025 N 397)</w:t>
      </w:r>
    </w:p>
    <w:p>
      <w:pPr>
        <w:pStyle w:val="0"/>
        <w:spacing w:before="240" w:lineRule="auto"/>
        <w:ind w:firstLine="540"/>
        <w:jc w:val="both"/>
      </w:pPr>
      <w:r>
        <w:rPr>
          <w:sz w:val="24"/>
        </w:rPr>
        <w:t xml:space="preserve">2) утратил силу. - </w:t>
      </w:r>
      <w:hyperlink w:history="0" r:id="rId136"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Приказ</w:t>
        </w:r>
      </w:hyperlink>
      <w:r>
        <w:rPr>
          <w:sz w:val="24"/>
        </w:rPr>
        <w:t xml:space="preserve"> Минэкономразвития России от 24.09.2021 N 564;</w:t>
      </w:r>
    </w:p>
    <w:p>
      <w:pPr>
        <w:pStyle w:val="0"/>
        <w:spacing w:before="240" w:lineRule="auto"/>
        <w:ind w:firstLine="540"/>
        <w:jc w:val="both"/>
      </w:pPr>
      <w:r>
        <w:rPr>
          <w:sz w:val="24"/>
        </w:rPr>
        <w:t xml:space="preserve">3) в отношении субъекта МСП, физического лица, применяющего специальный налоговый режим "Налог на профессиональный доход", и (или) организации инфраструктуры поддержки 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аннулирование или приостановление действия лицензии (в случае, если деятельность подлежит лицензированию);</w:t>
      </w:r>
    </w:p>
    <w:p>
      <w:pPr>
        <w:pStyle w:val="0"/>
        <w:jc w:val="both"/>
      </w:pPr>
      <w:r>
        <w:rPr>
          <w:sz w:val="24"/>
        </w:rPr>
        <w:t xml:space="preserve">(в ред. </w:t>
      </w:r>
      <w:hyperlink w:history="0" r:id="rId137"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4) утратил силу. - </w:t>
      </w:r>
      <w:hyperlink w:history="0" r:id="rId138"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w:t>
        </w:r>
      </w:hyperlink>
      <w:r>
        <w:rPr>
          <w:sz w:val="24"/>
        </w:rPr>
        <w:t xml:space="preserve"> Минэкономразвития России от 17.06.2025 N 397.</w:t>
      </w:r>
    </w:p>
    <w:p>
      <w:pPr>
        <w:pStyle w:val="0"/>
        <w:spacing w:before="240" w:lineRule="auto"/>
        <w:ind w:firstLine="540"/>
        <w:jc w:val="both"/>
      </w:pPr>
      <w:r>
        <w:rPr>
          <w:sz w:val="24"/>
        </w:rPr>
        <w:t xml:space="preserve">Абзац утратил силу. - </w:t>
      </w:r>
      <w:hyperlink w:history="0" r:id="rId139"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Приказ</w:t>
        </w:r>
      </w:hyperlink>
      <w:r>
        <w:rPr>
          <w:sz w:val="24"/>
        </w:rPr>
        <w:t xml:space="preserve"> Минэкономразвития России от 31.10.2022 N 591.</w:t>
      </w:r>
    </w:p>
    <w:p>
      <w:pPr>
        <w:pStyle w:val="0"/>
        <w:jc w:val="both"/>
      </w:pPr>
      <w:r>
        <w:rPr>
          <w:sz w:val="24"/>
        </w:rPr>
        <w:t xml:space="preserve">(п. 7.1 в ред. </w:t>
      </w:r>
      <w:hyperlink w:history="0" r:id="rId140"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Приказа</w:t>
        </w:r>
      </w:hyperlink>
      <w:r>
        <w:rPr>
          <w:sz w:val="24"/>
        </w:rPr>
        <w:t xml:space="preserve"> Минэкономразвития России от 01.06.2020 N 323)</w:t>
      </w:r>
    </w:p>
    <w:p>
      <w:pPr>
        <w:pStyle w:val="0"/>
        <w:spacing w:before="240" w:lineRule="auto"/>
        <w:ind w:firstLine="540"/>
        <w:jc w:val="both"/>
      </w:pPr>
      <w:r>
        <w:rPr>
          <w:sz w:val="24"/>
        </w:rPr>
        <w:t xml:space="preserve">7.2. Поручительство и (или) независимая гарантия РГО не предоставляется субъектам МСП, физическим лицам, применяющим специальный налоговый режим "Налог на профессиональный доход", и (или) организациям инфраструктуры поддержки:</w:t>
      </w:r>
    </w:p>
    <w:p>
      <w:pPr>
        <w:pStyle w:val="0"/>
        <w:jc w:val="both"/>
      </w:pPr>
      <w:r>
        <w:rPr>
          <w:sz w:val="24"/>
        </w:rPr>
        <w:t xml:space="preserve">(в ред. </w:t>
      </w:r>
      <w:hyperlink w:history="0" r:id="rId141"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1) при непредставлении полного пакета документов, определенного высшим или иным уполномоченным органом РГО, или предоставлении недостоверных сведений и документов;</w:t>
      </w:r>
    </w:p>
    <w:p>
      <w:pPr>
        <w:pStyle w:val="0"/>
        <w:spacing w:before="240" w:lineRule="auto"/>
        <w:ind w:firstLine="540"/>
        <w:jc w:val="both"/>
      </w:pPr>
      <w:r>
        <w:rPr>
          <w:sz w:val="24"/>
        </w:rPr>
        <w:t xml:space="preserve">2) при нахождении в стадии ликвидации, реорганизации, а также в случае применения процедур несостоятельности (банкротства), в том числе наблюдения, финансового оздоровления, внешнего управления, конкурсного производства либо аннулировании или приостановлении действия лицензии (в случае, если деятельность подлежит лицензированию);</w:t>
      </w:r>
    </w:p>
    <w:p>
      <w:pPr>
        <w:pStyle w:val="0"/>
        <w:jc w:val="both"/>
      </w:pPr>
      <w:r>
        <w:rPr>
          <w:sz w:val="24"/>
        </w:rPr>
        <w:t xml:space="preserve">(в ред. </w:t>
      </w:r>
      <w:hyperlink w:history="0" r:id="rId142"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Приказа</w:t>
        </w:r>
      </w:hyperlink>
      <w:r>
        <w:rPr>
          <w:sz w:val="24"/>
        </w:rPr>
        <w:t xml:space="preserve"> Минэкономразвития России от 01.06.2020 N 323)</w:t>
      </w:r>
    </w:p>
    <w:p>
      <w:pPr>
        <w:pStyle w:val="0"/>
        <w:spacing w:before="240" w:lineRule="auto"/>
        <w:ind w:firstLine="540"/>
        <w:jc w:val="both"/>
      </w:pPr>
      <w:r>
        <w:rPr>
          <w:sz w:val="24"/>
        </w:rPr>
        <w:t xml:space="preserve">3) при осуществлении предпринимательской деятельности в сфере игорного бизнеса;</w:t>
      </w:r>
    </w:p>
    <w:p>
      <w:pPr>
        <w:pStyle w:val="0"/>
        <w:jc w:val="both"/>
      </w:pPr>
      <w:r>
        <w:rPr>
          <w:sz w:val="24"/>
        </w:rPr>
        <w:t xml:space="preserve">(в ред. </w:t>
      </w:r>
      <w:hyperlink w:history="0" r:id="rId143"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4) являющимися участниками соглашения о разделе продукции,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pPr>
        <w:pStyle w:val="0"/>
        <w:spacing w:before="240" w:lineRule="auto"/>
        <w:ind w:firstLine="540"/>
        <w:jc w:val="both"/>
      </w:pPr>
      <w:r>
        <w:rPr>
          <w:sz w:val="24"/>
        </w:rPr>
        <w:t xml:space="preserve">7.3. РГО в целях предоставления поручительств и (или) независимых гарантий по основанным на Договорах обязательствам субъектов МСП, физических лиц, применяющих специальный налоговый режим "Налог на профессиональный доход", и (или) организаций инфраструктуры поддержки, проводит отбор финансовых организаций, соответствующих критериям, указанным в </w:t>
      </w:r>
      <w:hyperlink w:history="0" w:anchor="P267" w:tooltip="7.4. Критерии отбора кредитных организаций в целях заключения соглашения о сотрудничестве:">
        <w:r>
          <w:rPr>
            <w:sz w:val="24"/>
            <w:color w:val="0000ff"/>
          </w:rPr>
          <w:t xml:space="preserve">пунктах 7.4</w:t>
        </w:r>
      </w:hyperlink>
      <w:r>
        <w:rPr>
          <w:sz w:val="24"/>
        </w:rPr>
        <w:t xml:space="preserve"> - </w:t>
      </w:r>
      <w:hyperlink w:history="0" w:anchor="P289" w:tooltip="7.6. Критерии отбора микрофинансовых организаций для целей заключения соглашения о сотрудничестве:">
        <w:r>
          <w:rPr>
            <w:sz w:val="24"/>
            <w:color w:val="0000ff"/>
          </w:rPr>
          <w:t xml:space="preserve">7.6</w:t>
        </w:r>
      </w:hyperlink>
      <w:r>
        <w:rPr>
          <w:sz w:val="24"/>
        </w:rPr>
        <w:t xml:space="preserve"> настоящих Требований.</w:t>
      </w:r>
    </w:p>
    <w:p>
      <w:pPr>
        <w:pStyle w:val="0"/>
        <w:jc w:val="both"/>
      </w:pPr>
      <w:r>
        <w:rPr>
          <w:sz w:val="24"/>
        </w:rPr>
        <w:t xml:space="preserve">(в ред. </w:t>
      </w:r>
      <w:hyperlink w:history="0" r:id="rId144"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bookmarkStart w:id="267" w:name="P267"/>
    <w:bookmarkEnd w:id="267"/>
    <w:p>
      <w:pPr>
        <w:pStyle w:val="0"/>
        <w:spacing w:before="240" w:lineRule="auto"/>
        <w:ind w:firstLine="540"/>
        <w:jc w:val="both"/>
      </w:pPr>
      <w:r>
        <w:rPr>
          <w:sz w:val="24"/>
        </w:rPr>
        <w:t xml:space="preserve">7.4. Критерии отбора кредитных организаций в целях заключения соглашения о сотрудничестве:</w:t>
      </w:r>
    </w:p>
    <w:p>
      <w:pPr>
        <w:pStyle w:val="0"/>
        <w:spacing w:before="240" w:lineRule="auto"/>
        <w:ind w:firstLine="540"/>
        <w:jc w:val="both"/>
      </w:pPr>
      <w:r>
        <w:rPr>
          <w:sz w:val="24"/>
        </w:rPr>
        <w:t xml:space="preserve">1) наличие лицензии Центрального Банка Российской Федерации на осуществление банковских операций;</w:t>
      </w:r>
    </w:p>
    <w:p>
      <w:pPr>
        <w:pStyle w:val="0"/>
        <w:spacing w:before="240" w:lineRule="auto"/>
        <w:ind w:firstLine="540"/>
        <w:jc w:val="both"/>
      </w:pPr>
      <w:r>
        <w:rPr>
          <w:sz w:val="24"/>
        </w:rPr>
        <w:t xml:space="preserve">2) наличие положительного аудиторского заключения по бухгалтерской (финансовой) отчетности кредитной организации, составленной в соответствии с международными стандартами финансовой отчетности (МСФО), за два последних отчетных года по кредитной организации или банковской группе при вхождении кредитной организации в банковскую группу. В случае если требования законодательства Российской Федерации не обязывают кредитную организацию формировать бухгалтерскую (финансовую) отчетность в соответствии с МСФО, требование о наличии положительного аудиторского заключения относится к бухгалтерской (финансовой) отчетности, составленной в соответствии с российскими стандартами бухгалтерского учета (РСБУ);</w:t>
      </w:r>
    </w:p>
    <w:p>
      <w:pPr>
        <w:pStyle w:val="0"/>
        <w:jc w:val="both"/>
      </w:pPr>
      <w:r>
        <w:rPr>
          <w:sz w:val="24"/>
        </w:rPr>
        <w:t xml:space="preserve">(пп. 2 в ред. </w:t>
      </w:r>
      <w:hyperlink w:history="0" r:id="rId145"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Приказа</w:t>
        </w:r>
      </w:hyperlink>
      <w:r>
        <w:rPr>
          <w:sz w:val="24"/>
        </w:rPr>
        <w:t xml:space="preserve"> Минэкономразвития России от 01.06.2020 N 323)</w:t>
      </w:r>
    </w:p>
    <w:p>
      <w:pPr>
        <w:pStyle w:val="0"/>
        <w:spacing w:before="240" w:lineRule="auto"/>
        <w:ind w:firstLine="540"/>
        <w:jc w:val="both"/>
      </w:pPr>
      <w:r>
        <w:rPr>
          <w:sz w:val="24"/>
        </w:rPr>
        <w:t xml:space="preserve">3) отсутствие примененных Центральным Банком Российской Федерации в отношении кредитной организации санкций в форме запрета на совершение отдельных банковских операций и открытие филиалов, в виде приостановления действия лицензии на осуществление отдельных банковских операций, а также отсутствие неисполненных предписаний Центрального Банка Российской Федерации с истекшими сроками на судебное обжалование или после вступления в силу судебного акта, в котором установлена законность предписания Центрального Банка Российской Федерации;</w:t>
      </w:r>
    </w:p>
    <w:p>
      <w:pPr>
        <w:pStyle w:val="0"/>
        <w:spacing w:before="240" w:lineRule="auto"/>
        <w:ind w:firstLine="540"/>
        <w:jc w:val="both"/>
      </w:pPr>
      <w:r>
        <w:rPr>
          <w:sz w:val="24"/>
        </w:rPr>
        <w:t xml:space="preserve">4) утратил силу. - </w:t>
      </w:r>
      <w:hyperlink w:history="0" r:id="rId146"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w:t>
        </w:r>
      </w:hyperlink>
      <w:r>
        <w:rPr>
          <w:sz w:val="24"/>
        </w:rPr>
        <w:t xml:space="preserve"> Минэкономразвития России от 06.12.2017 N 651;</w:t>
      </w:r>
    </w:p>
    <w:p>
      <w:pPr>
        <w:pStyle w:val="0"/>
        <w:spacing w:before="240" w:lineRule="auto"/>
        <w:ind w:firstLine="540"/>
        <w:jc w:val="both"/>
      </w:pPr>
      <w:r>
        <w:rPr>
          <w:sz w:val="24"/>
        </w:rPr>
        <w:t xml:space="preserve">5) наличие опыта работы по кредитованию субъектов МСП не менее 6 (шести) месяцев, в том числе наличие:</w:t>
      </w:r>
    </w:p>
    <w:p>
      <w:pPr>
        <w:pStyle w:val="0"/>
        <w:spacing w:before="240" w:lineRule="auto"/>
        <w:ind w:firstLine="540"/>
        <w:jc w:val="both"/>
      </w:pPr>
      <w:r>
        <w:rPr>
          <w:sz w:val="24"/>
        </w:rPr>
        <w:t xml:space="preserve">а) сформированного портфеля кредитов и (или) банковских гарантий, предоставленных субъектам МСП на дату подачи кредитной организацией заявления для участия в отборе;</w:t>
      </w:r>
    </w:p>
    <w:p>
      <w:pPr>
        <w:pStyle w:val="0"/>
        <w:spacing w:before="240" w:lineRule="auto"/>
        <w:ind w:firstLine="540"/>
        <w:jc w:val="both"/>
      </w:pPr>
      <w:r>
        <w:rPr>
          <w:sz w:val="24"/>
        </w:rPr>
        <w:t xml:space="preserve">б) специализированных технологий (программ) работы с субъектами МСП;</w:t>
      </w:r>
    </w:p>
    <w:p>
      <w:pPr>
        <w:pStyle w:val="0"/>
        <w:spacing w:before="240" w:lineRule="auto"/>
        <w:ind w:firstLine="540"/>
        <w:jc w:val="both"/>
      </w:pPr>
      <w:r>
        <w:rPr>
          <w:sz w:val="24"/>
        </w:rPr>
        <w:t xml:space="preserve">6) внутренней нормативной документации, в том числе утвержденной стратегии или отдельного раздела в стратегии, регламентирующих порядок работы с субъектами МСП.</w:t>
      </w:r>
    </w:p>
    <w:p>
      <w:pPr>
        <w:pStyle w:val="0"/>
        <w:spacing w:before="240" w:lineRule="auto"/>
        <w:ind w:firstLine="540"/>
        <w:jc w:val="both"/>
      </w:pPr>
      <w:r>
        <w:rPr>
          <w:sz w:val="24"/>
        </w:rPr>
        <w:t xml:space="preserve">7.5. Критерии отбора лизинговых компаний в целях заключения соглашения о сотрудничестве:</w:t>
      </w:r>
    </w:p>
    <w:p>
      <w:pPr>
        <w:pStyle w:val="0"/>
        <w:spacing w:before="240" w:lineRule="auto"/>
        <w:ind w:firstLine="540"/>
        <w:jc w:val="both"/>
      </w:pPr>
      <w:r>
        <w:rPr>
          <w:sz w:val="24"/>
        </w:rPr>
        <w:t xml:space="preserve">1) отнесение лизинговой компании к юридическому лицу - резиденту Российской Федерации, зарегистрированному в соответствии с законодательством Российской Федерации;</w:t>
      </w:r>
    </w:p>
    <w:p>
      <w:pPr>
        <w:pStyle w:val="0"/>
        <w:spacing w:before="240" w:lineRule="auto"/>
        <w:ind w:firstLine="540"/>
        <w:jc w:val="both"/>
      </w:pPr>
      <w:r>
        <w:rPr>
          <w:sz w:val="24"/>
        </w:rPr>
        <w:t xml:space="preserve">2) отсутствие негативной информации в отношении деловой репутации лизинговой компании;</w:t>
      </w:r>
    </w:p>
    <w:p>
      <w:pPr>
        <w:pStyle w:val="0"/>
        <w:spacing w:before="240" w:lineRule="auto"/>
        <w:ind w:firstLine="540"/>
        <w:jc w:val="both"/>
      </w:pPr>
      <w:r>
        <w:rPr>
          <w:sz w:val="24"/>
        </w:rPr>
        <w:t xml:space="preserve">3) отсутствие просроченной (неурегулированной) задолженности по фактам привлечения лизинговой компании к административной ответственности за предшествующий год;</w:t>
      </w:r>
    </w:p>
    <w:p>
      <w:pPr>
        <w:pStyle w:val="0"/>
        <w:jc w:val="both"/>
      </w:pPr>
      <w:r>
        <w:rPr>
          <w:sz w:val="24"/>
        </w:rPr>
        <w:t xml:space="preserve">(в ред. </w:t>
      </w:r>
      <w:hyperlink w:history="0" r:id="rId147"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Приказа</w:t>
        </w:r>
      </w:hyperlink>
      <w:r>
        <w:rPr>
          <w:sz w:val="24"/>
        </w:rPr>
        <w:t xml:space="preserve"> Минэкономразвития России от 31.10.2022 N 591)</w:t>
      </w:r>
    </w:p>
    <w:p>
      <w:pPr>
        <w:pStyle w:val="0"/>
        <w:spacing w:before="240" w:lineRule="auto"/>
        <w:ind w:firstLine="540"/>
        <w:jc w:val="both"/>
      </w:pPr>
      <w:r>
        <w:rPr>
          <w:sz w:val="24"/>
        </w:rPr>
        <w:t xml:space="preserve">4) наличие сформированного портфеля договоров финансовой аренды (лизинга), заключенных с субъектами МСП, организациями инфраструктуры поддержки на дату подачи лизинговой компанией заявления для участия в отборе, а также специализированных технологий (программ) работы с субъектами МСП;</w:t>
      </w:r>
    </w:p>
    <w:p>
      <w:pPr>
        <w:pStyle w:val="0"/>
        <w:spacing w:before="240" w:lineRule="auto"/>
        <w:ind w:firstLine="540"/>
        <w:jc w:val="both"/>
      </w:pPr>
      <w:r>
        <w:rPr>
          <w:sz w:val="24"/>
        </w:rPr>
        <w:t xml:space="preserve">5) наличие положительного значения собственного капитала и чистых активов за последний отчетный год;</w:t>
      </w:r>
    </w:p>
    <w:p>
      <w:pPr>
        <w:pStyle w:val="0"/>
        <w:spacing w:before="240" w:lineRule="auto"/>
        <w:ind w:firstLine="540"/>
        <w:jc w:val="both"/>
      </w:pPr>
      <w:r>
        <w:rPr>
          <w:sz w:val="24"/>
        </w:rPr>
        <w:t xml:space="preserve">6) утратил силу. - </w:t>
      </w:r>
      <w:hyperlink w:history="0" r:id="rId148"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Приказ</w:t>
        </w:r>
      </w:hyperlink>
      <w:r>
        <w:rPr>
          <w:sz w:val="24"/>
        </w:rPr>
        <w:t xml:space="preserve"> Минэкономразвития России от 31.10.2022 N 591;</w:t>
      </w:r>
    </w:p>
    <w:p>
      <w:pPr>
        <w:pStyle w:val="0"/>
        <w:spacing w:before="240" w:lineRule="auto"/>
        <w:ind w:firstLine="540"/>
        <w:jc w:val="both"/>
      </w:pPr>
      <w:r>
        <w:rPr>
          <w:sz w:val="24"/>
        </w:rPr>
        <w:t xml:space="preserve">7) отсутствие нереструктурированной просроченной задолженности перед бюджетом, внебюджетными фондами и другими государственными органами;</w:t>
      </w:r>
    </w:p>
    <w:p>
      <w:pPr>
        <w:pStyle w:val="0"/>
        <w:spacing w:before="240" w:lineRule="auto"/>
        <w:ind w:firstLine="540"/>
        <w:jc w:val="both"/>
      </w:pPr>
      <w:r>
        <w:rPr>
          <w:sz w:val="24"/>
        </w:rPr>
        <w:t xml:space="preserve">8) отсутствие за последний отчетный год и на последнюю квартальную дату убытков, влекущих снижение стоимости чистых активов более чем на 25% по сравнению с максимально достигнутым уровнем в течение последних 12 (двенадцати) месяцев;</w:t>
      </w:r>
    </w:p>
    <w:p>
      <w:pPr>
        <w:pStyle w:val="0"/>
        <w:spacing w:before="240" w:lineRule="auto"/>
        <w:ind w:firstLine="540"/>
        <w:jc w:val="both"/>
      </w:pPr>
      <w:r>
        <w:rPr>
          <w:sz w:val="24"/>
        </w:rPr>
        <w:t xml:space="preserve">9) отсутствие просроченных платежей свыше 30 (тридцати) дней по обслуживанию кредитного портфеля за последние 180 (сто восемьдесят) календарных дней (положительная кредитная история);</w:t>
      </w:r>
    </w:p>
    <w:p>
      <w:pPr>
        <w:pStyle w:val="0"/>
        <w:spacing w:before="240" w:lineRule="auto"/>
        <w:ind w:firstLine="540"/>
        <w:jc w:val="both"/>
      </w:pPr>
      <w:r>
        <w:rPr>
          <w:sz w:val="24"/>
        </w:rPr>
        <w:t xml:space="preserve">10) отсутствие применяемых в отношении лизинговой компании процедур несостоятельности (банкротства), в том числе наблюдение, финансовое оздоровление, внешнее управление, конкурсное производство либо санкции в виде аннулирования или приостановления действия лицензии (в случае, если деятельность подлежит лицензированию).</w:t>
      </w:r>
    </w:p>
    <w:bookmarkStart w:id="289" w:name="P289"/>
    <w:bookmarkEnd w:id="289"/>
    <w:p>
      <w:pPr>
        <w:pStyle w:val="0"/>
        <w:spacing w:before="240" w:lineRule="auto"/>
        <w:ind w:firstLine="540"/>
        <w:jc w:val="both"/>
      </w:pPr>
      <w:r>
        <w:rPr>
          <w:sz w:val="24"/>
        </w:rPr>
        <w:t xml:space="preserve">7.6. Критерии отбора микрофинансовых организаций для целей заключения соглашения о сотрудничестве:</w:t>
      </w:r>
    </w:p>
    <w:p>
      <w:pPr>
        <w:pStyle w:val="0"/>
        <w:spacing w:before="240" w:lineRule="auto"/>
        <w:ind w:firstLine="540"/>
        <w:jc w:val="both"/>
      </w:pPr>
      <w:r>
        <w:rPr>
          <w:sz w:val="24"/>
        </w:rPr>
        <w:t xml:space="preserve">1) отнесение к микрофинансовым организациям предпринимательского финансирования в соответствии с критериями, установленными </w:t>
      </w:r>
      <w:hyperlink w:history="0" r:id="rId149" w:tooltip="Указание Банка России от 26.08.2022 N 6227-У &quot;О критериях, которым должны соответствовать микрофинансовые организации предпринимательского финансирования&quot; (Зарегистрировано в Минюсте России 28.09.2022 N 70268) {КонсультантПлюс}">
        <w:r>
          <w:rPr>
            <w:sz w:val="24"/>
            <w:color w:val="0000ff"/>
          </w:rPr>
          <w:t xml:space="preserve">Указанием</w:t>
        </w:r>
      </w:hyperlink>
      <w:r>
        <w:rPr>
          <w:sz w:val="24"/>
        </w:rPr>
        <w:t xml:space="preserve"> Центрального банка Российской Федерации от 26 августа 2022 г. N 6227-У "О критериях, которым должны соответствовать микрофинансовые организации предпринимательского финансирования" &lt;1&gt;;</w:t>
      </w:r>
    </w:p>
    <w:p>
      <w:pPr>
        <w:pStyle w:val="0"/>
        <w:jc w:val="both"/>
      </w:pPr>
      <w:r>
        <w:rPr>
          <w:sz w:val="24"/>
        </w:rPr>
        <w:t xml:space="preserve">(пп. 1 в ред. </w:t>
      </w:r>
      <w:hyperlink w:history="0" r:id="rId150"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Приказа</w:t>
        </w:r>
      </w:hyperlink>
      <w:r>
        <w:rPr>
          <w:sz w:val="24"/>
        </w:rPr>
        <w:t xml:space="preserve"> Минэкономразвития России от 08.07.2024 N 418)</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Зарегистрировано Минюстом России 28 сентября 2022 г., регистрационный N 70268.</w:t>
      </w:r>
    </w:p>
    <w:p>
      <w:pPr>
        <w:pStyle w:val="0"/>
        <w:jc w:val="both"/>
      </w:pPr>
      <w:r>
        <w:rPr>
          <w:sz w:val="24"/>
        </w:rPr>
        <w:t xml:space="preserve">(сноска введена </w:t>
      </w:r>
      <w:hyperlink w:history="0" r:id="rId151"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Приказом</w:t>
        </w:r>
      </w:hyperlink>
      <w:r>
        <w:rPr>
          <w:sz w:val="24"/>
        </w:rPr>
        <w:t xml:space="preserve"> Минэкономразвития России от 08.07.2024 N 418)</w:t>
      </w:r>
    </w:p>
    <w:p>
      <w:pPr>
        <w:pStyle w:val="0"/>
        <w:ind w:firstLine="540"/>
        <w:jc w:val="both"/>
      </w:pPr>
      <w:r>
        <w:rPr>
          <w:sz w:val="24"/>
        </w:rPr>
      </w:r>
    </w:p>
    <w:bookmarkStart w:id="296" w:name="P296"/>
    <w:bookmarkEnd w:id="296"/>
    <w:p>
      <w:pPr>
        <w:pStyle w:val="0"/>
        <w:ind w:firstLine="540"/>
        <w:jc w:val="both"/>
      </w:pPr>
      <w:r>
        <w:rPr>
          <w:sz w:val="24"/>
        </w:rPr>
        <w:t xml:space="preserve">2) наличие положительного аудиторского заключения по итогам работы за последний отчетный год;</w:t>
      </w:r>
    </w:p>
    <w:bookmarkStart w:id="297" w:name="P297"/>
    <w:bookmarkEnd w:id="297"/>
    <w:p>
      <w:pPr>
        <w:pStyle w:val="0"/>
        <w:spacing w:before="240" w:lineRule="auto"/>
        <w:ind w:firstLine="540"/>
        <w:jc w:val="both"/>
      </w:pPr>
      <w:r>
        <w:rPr>
          <w:sz w:val="24"/>
        </w:rPr>
        <w:t xml:space="preserve">3) наличие уровня просроченной задолженности действующего портфеля микрозаймов микрофинансовой организации не более 15% от размера совокупной задолженности по портфелю микрозаймов на последнюю отчетную дату;</w:t>
      </w:r>
    </w:p>
    <w:p>
      <w:pPr>
        <w:pStyle w:val="0"/>
        <w:jc w:val="both"/>
      </w:pPr>
      <w:r>
        <w:rPr>
          <w:sz w:val="24"/>
        </w:rPr>
        <w:t xml:space="preserve">(пп. 3 в ред. </w:t>
      </w:r>
      <w:hyperlink w:history="0" r:id="rId152"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Приказа</w:t>
        </w:r>
      </w:hyperlink>
      <w:r>
        <w:rPr>
          <w:sz w:val="24"/>
        </w:rPr>
        <w:t xml:space="preserve"> Минэкономразвития России от 06.12.2017 N 651)</w:t>
      </w:r>
    </w:p>
    <w:p>
      <w:pPr>
        <w:pStyle w:val="0"/>
        <w:spacing w:before="240" w:lineRule="auto"/>
        <w:ind w:firstLine="540"/>
        <w:jc w:val="both"/>
      </w:pPr>
      <w:r>
        <w:rPr>
          <w:sz w:val="24"/>
        </w:rPr>
        <w:t xml:space="preserve">4) отсутствие негативной информации в отношении деловой репутации микрофинансовой организации;</w:t>
      </w:r>
    </w:p>
    <w:p>
      <w:pPr>
        <w:pStyle w:val="0"/>
        <w:spacing w:before="240" w:lineRule="auto"/>
        <w:ind w:firstLine="540"/>
        <w:jc w:val="both"/>
      </w:pPr>
      <w:r>
        <w:rPr>
          <w:sz w:val="24"/>
        </w:rPr>
        <w:t xml:space="preserve">5) отсутствие просроченной (неурегулированной) задолженности по фактам привлечения к административной ответственности за предшествующий год;</w:t>
      </w:r>
    </w:p>
    <w:p>
      <w:pPr>
        <w:pStyle w:val="0"/>
        <w:jc w:val="both"/>
      </w:pPr>
      <w:r>
        <w:rPr>
          <w:sz w:val="24"/>
        </w:rPr>
        <w:t xml:space="preserve">(в ред. </w:t>
      </w:r>
      <w:hyperlink w:history="0" r:id="rId153"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Приказа</w:t>
        </w:r>
      </w:hyperlink>
      <w:r>
        <w:rPr>
          <w:sz w:val="24"/>
        </w:rPr>
        <w:t xml:space="preserve"> Минэкономразвития России от 31.10.2022 N 591)</w:t>
      </w:r>
    </w:p>
    <w:p>
      <w:pPr>
        <w:pStyle w:val="0"/>
        <w:spacing w:before="240" w:lineRule="auto"/>
        <w:ind w:firstLine="540"/>
        <w:jc w:val="both"/>
      </w:pPr>
      <w:r>
        <w:rPr>
          <w:sz w:val="24"/>
        </w:rPr>
        <w:t xml:space="preserve">6) неприменение в отношении микрофинансовой организации процедур несостоятельности (банкротства), в том числе наблюдение, финансовое оздоровление, внешнее управление, конкурсное производство.</w:t>
      </w:r>
    </w:p>
    <w:p>
      <w:pPr>
        <w:pStyle w:val="0"/>
        <w:spacing w:before="240" w:lineRule="auto"/>
        <w:ind w:firstLine="540"/>
        <w:jc w:val="both"/>
      </w:pPr>
      <w:r>
        <w:rPr>
          <w:sz w:val="24"/>
        </w:rPr>
        <w:t xml:space="preserve">7.6(1). В отношении государственных микрофинансовых организаций, созданных в 2023 и 2024 годах и зарегистрированных на территории Донецкой Народной Республики, Луганской Народной Республики, Запорожской области, Херсонской области, не применяются критерии отбора, указанные в </w:t>
      </w:r>
      <w:hyperlink w:history="0" w:anchor="P296" w:tooltip="2) наличие положительного аудиторского заключения по итогам работы за последний отчетный год;">
        <w:r>
          <w:rPr>
            <w:sz w:val="24"/>
            <w:color w:val="0000ff"/>
          </w:rPr>
          <w:t xml:space="preserve">подпунктах 2</w:t>
        </w:r>
      </w:hyperlink>
      <w:r>
        <w:rPr>
          <w:sz w:val="24"/>
        </w:rPr>
        <w:t xml:space="preserve"> и </w:t>
      </w:r>
      <w:hyperlink w:history="0" w:anchor="P297" w:tooltip="3) наличие уровня просроченной задолженности действующего портфеля микрозаймов микрофинансовой организации не более 15% от размера совокупной задолженности по портфелю микрозаймов на последнюю отчетную дату;">
        <w:r>
          <w:rPr>
            <w:sz w:val="24"/>
            <w:color w:val="0000ff"/>
          </w:rPr>
          <w:t xml:space="preserve">3 пункта 7.6</w:t>
        </w:r>
      </w:hyperlink>
      <w:r>
        <w:rPr>
          <w:sz w:val="24"/>
        </w:rPr>
        <w:t xml:space="preserve"> настоящих Требований, до 1 июля 2025 года.</w:t>
      </w:r>
    </w:p>
    <w:p>
      <w:pPr>
        <w:pStyle w:val="0"/>
        <w:jc w:val="both"/>
      </w:pPr>
      <w:r>
        <w:rPr>
          <w:sz w:val="24"/>
        </w:rPr>
        <w:t xml:space="preserve">(п. 7.6(1) введен </w:t>
      </w:r>
      <w:hyperlink w:history="0" r:id="rId154"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Приказом</w:t>
        </w:r>
      </w:hyperlink>
      <w:r>
        <w:rPr>
          <w:sz w:val="24"/>
        </w:rPr>
        <w:t xml:space="preserve"> Минэкономразвития России от 08.07.2024 N 418)</w:t>
      </w:r>
    </w:p>
    <w:p>
      <w:pPr>
        <w:pStyle w:val="0"/>
        <w:spacing w:before="240" w:lineRule="auto"/>
        <w:ind w:firstLine="540"/>
        <w:jc w:val="both"/>
      </w:pPr>
      <w:r>
        <w:rPr>
          <w:sz w:val="24"/>
        </w:rPr>
        <w:t xml:space="preserve">7.7. Поручительства и (или) независимые гарантии РГО не могут предоставляться в пользу финансовой организации, в случае, если такая финансовая организация и данное РГО являются одним юридическим лицом.</w:t>
      </w:r>
    </w:p>
    <w:p>
      <w:pPr>
        <w:pStyle w:val="0"/>
        <w:spacing w:before="240" w:lineRule="auto"/>
        <w:ind w:firstLine="540"/>
        <w:jc w:val="both"/>
      </w:pPr>
      <w:r>
        <w:rPr>
          <w:sz w:val="24"/>
        </w:rPr>
        <w:t xml:space="preserve">7.8. Иные организации, осуществляющие финансирование субъектов МСП, физических лиц, применяющих специальный налоговый режим "Налог на профессиональный доход", и организаций инфраструктуры поддержки отбираются в соответствии с правилами, установленными высшим или иным уполномоченным органом РГО.</w:t>
      </w:r>
    </w:p>
    <w:p>
      <w:pPr>
        <w:pStyle w:val="0"/>
        <w:jc w:val="both"/>
      </w:pPr>
      <w:r>
        <w:rPr>
          <w:sz w:val="24"/>
        </w:rPr>
        <w:t xml:space="preserve">(в ред. </w:t>
      </w:r>
      <w:hyperlink w:history="0" r:id="rId155"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7.9. По результатам отбора финансовых организаций между РГО и финансовой организацией на каждый вид обеспечиваемого обязательства заключается отдельное соглашение о сотрудничестве.</w:t>
      </w:r>
    </w:p>
    <w:p>
      <w:pPr>
        <w:pStyle w:val="0"/>
        <w:spacing w:before="240" w:lineRule="auto"/>
        <w:ind w:firstLine="540"/>
        <w:jc w:val="both"/>
      </w:pPr>
      <w:r>
        <w:rPr>
          <w:sz w:val="24"/>
        </w:rPr>
        <w:t xml:space="preserve">7.10. РГО заключает соглашение о сотрудничестве с финансовой организацией, которое содержит следующие основные положения:</w:t>
      </w:r>
    </w:p>
    <w:p>
      <w:pPr>
        <w:pStyle w:val="0"/>
        <w:spacing w:before="240" w:lineRule="auto"/>
        <w:ind w:firstLine="540"/>
        <w:jc w:val="both"/>
      </w:pPr>
      <w:r>
        <w:rPr>
          <w:sz w:val="24"/>
        </w:rPr>
        <w:t xml:space="preserve">1) указание на вид обязательств (кредитный договор, договор займа, договор финансовой аренды (лизинга), договор о предоставлении банковской гарантии), исполнение которых обеспечивается РГО в процессе сотрудничества с финансовой организацией;</w:t>
      </w:r>
    </w:p>
    <w:p>
      <w:pPr>
        <w:pStyle w:val="0"/>
        <w:spacing w:before="240" w:lineRule="auto"/>
        <w:ind w:firstLine="540"/>
        <w:jc w:val="both"/>
      </w:pPr>
      <w:r>
        <w:rPr>
          <w:sz w:val="24"/>
        </w:rPr>
        <w:t xml:space="preserve">2) субсидиарную ответственность РГО;</w:t>
      </w:r>
    </w:p>
    <w:p>
      <w:pPr>
        <w:pStyle w:val="0"/>
        <w:spacing w:before="240" w:lineRule="auto"/>
        <w:ind w:firstLine="540"/>
        <w:jc w:val="both"/>
      </w:pPr>
      <w:r>
        <w:rPr>
          <w:sz w:val="24"/>
        </w:rPr>
        <w:t xml:space="preserve">3) обязательство и порядок мониторинга финансового состояния субъектов МСП, физических лиц, применяющих специальный налоговый режим "Налог на профессиональный доход", и (или) организаций инфраструктуры поддержки со стороны финансовой организации в течение срока действия договора, обеспеченного поручительством и (или) независимой гарантией РГО и порядок передачи информации по результатам мониторинга в РГО;</w:t>
      </w:r>
    </w:p>
    <w:p>
      <w:pPr>
        <w:pStyle w:val="0"/>
        <w:jc w:val="both"/>
      </w:pPr>
      <w:r>
        <w:rPr>
          <w:sz w:val="24"/>
        </w:rPr>
        <w:t xml:space="preserve">(в ред. </w:t>
      </w:r>
      <w:hyperlink w:history="0" r:id="rId156"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4) порядок взаимного обмена информацией и отчетными документами в рамках реализации заключенного соглашения.</w:t>
      </w:r>
    </w:p>
    <w:p>
      <w:pPr>
        <w:pStyle w:val="0"/>
        <w:spacing w:before="240" w:lineRule="auto"/>
        <w:ind w:firstLine="540"/>
        <w:jc w:val="both"/>
      </w:pPr>
      <w:r>
        <w:rPr>
          <w:sz w:val="24"/>
        </w:rPr>
        <w:t xml:space="preserve">7.11. РГО не реже чем один раз в полгода осуществляет мониторинг деятельности финансовых организаций на соответствие критериям и в порядке, которые установлены высшим или иным уполномоченным органом РГО. Высший или иной уполномоченный орган управления РГО принимает решение о продолжении или приостановлении сотрудничества, в том числе по результатам указанного мониторинга.</w:t>
      </w:r>
    </w:p>
    <w:p>
      <w:pPr>
        <w:pStyle w:val="0"/>
        <w:jc w:val="both"/>
      </w:pPr>
      <w:r>
        <w:rPr>
          <w:sz w:val="24"/>
        </w:rPr>
        <w:t xml:space="preserve">(п. 7.11 в ред. </w:t>
      </w:r>
      <w:hyperlink w:history="0" r:id="rId157"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Приказа</w:t>
        </w:r>
      </w:hyperlink>
      <w:r>
        <w:rPr>
          <w:sz w:val="24"/>
        </w:rPr>
        <w:t xml:space="preserve"> Минэкономразвития России от 24.09.2021 N 564)</w:t>
      </w:r>
    </w:p>
    <w:p>
      <w:pPr>
        <w:pStyle w:val="0"/>
        <w:spacing w:before="240" w:lineRule="auto"/>
        <w:ind w:firstLine="540"/>
        <w:jc w:val="both"/>
      </w:pPr>
      <w:r>
        <w:rPr>
          <w:sz w:val="24"/>
        </w:rPr>
        <w:t xml:space="preserve">7.12. Утратил силу. - </w:t>
      </w:r>
      <w:hyperlink w:history="0" r:id="rId158"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w:t>
        </w:r>
      </w:hyperlink>
      <w:r>
        <w:rPr>
          <w:sz w:val="24"/>
        </w:rPr>
        <w:t xml:space="preserve"> Минэкономразвития России от 07.09.2020 N 573.</w:t>
      </w:r>
    </w:p>
    <w:p>
      <w:pPr>
        <w:pStyle w:val="0"/>
        <w:jc w:val="both"/>
      </w:pPr>
      <w:r>
        <w:rPr>
          <w:sz w:val="24"/>
        </w:rPr>
      </w:r>
    </w:p>
    <w:p>
      <w:pPr>
        <w:pStyle w:val="2"/>
        <w:outlineLvl w:val="1"/>
        <w:jc w:val="center"/>
      </w:pPr>
      <w:r>
        <w:rPr>
          <w:sz w:val="24"/>
        </w:rPr>
        <w:t xml:space="preserve">VIII. Порядок и условия предоставления РГО поручительств</w:t>
      </w:r>
    </w:p>
    <w:p>
      <w:pPr>
        <w:pStyle w:val="2"/>
        <w:jc w:val="center"/>
      </w:pPr>
      <w:r>
        <w:rPr>
          <w:sz w:val="24"/>
        </w:rPr>
        <w:t xml:space="preserve">и (или) независимых гарантий субъектам МСП, физическим лицам,</w:t>
      </w:r>
    </w:p>
    <w:p>
      <w:pPr>
        <w:pStyle w:val="2"/>
        <w:jc w:val="center"/>
      </w:pPr>
      <w:r>
        <w:rPr>
          <w:sz w:val="24"/>
        </w:rPr>
        <w:t xml:space="preserve">применяющим специальный налоговый режим</w:t>
      </w:r>
    </w:p>
    <w:p>
      <w:pPr>
        <w:pStyle w:val="2"/>
        <w:jc w:val="center"/>
      </w:pPr>
      <w:r>
        <w:rPr>
          <w:sz w:val="24"/>
        </w:rPr>
        <w:t xml:space="preserve">"Налог на профессиональный доход",</w:t>
      </w:r>
    </w:p>
    <w:p>
      <w:pPr>
        <w:pStyle w:val="2"/>
        <w:jc w:val="center"/>
      </w:pPr>
      <w:r>
        <w:rPr>
          <w:sz w:val="24"/>
        </w:rPr>
        <w:t xml:space="preserve">и (или) организациям инфраструктуры поддержки</w:t>
      </w:r>
    </w:p>
    <w:p>
      <w:pPr>
        <w:pStyle w:val="0"/>
        <w:jc w:val="center"/>
      </w:pPr>
      <w:r>
        <w:rPr>
          <w:sz w:val="24"/>
        </w:rPr>
        <w:t xml:space="preserve">(в ред. </w:t>
      </w:r>
      <w:hyperlink w:history="0" r:id="rId159"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jc w:val="both"/>
      </w:pPr>
      <w:r>
        <w:rPr>
          <w:sz w:val="24"/>
        </w:rPr>
      </w:r>
    </w:p>
    <w:p>
      <w:pPr>
        <w:pStyle w:val="0"/>
        <w:ind w:firstLine="540"/>
        <w:jc w:val="both"/>
      </w:pPr>
      <w:r>
        <w:rPr>
          <w:sz w:val="24"/>
        </w:rPr>
        <w:t xml:space="preserve">8.1. РГО на условиях субсидиарной ответственности предоставляет поручительства и (или) независимые гарантии по обязательствам субъектов МСП, физических лиц, применяющих специальный налоговый режим "Налог на профессиональный доход", и (или) организаций инфраструктуры поддержки по договорам на основании заявок, поступивших от финансовых организаций или участников закупок, с приложением документов, перечень которых устанавливается РГО.</w:t>
      </w:r>
    </w:p>
    <w:p>
      <w:pPr>
        <w:pStyle w:val="0"/>
        <w:jc w:val="both"/>
      </w:pPr>
      <w:r>
        <w:rPr>
          <w:sz w:val="24"/>
        </w:rPr>
        <w:t xml:space="preserve">(в ред. Приказов Минэкономразвития России от 06.12.2017 </w:t>
      </w:r>
      <w:hyperlink w:history="0" r:id="rId160"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rPr>
        <w:t xml:space="preserve">, от 07.09.2020 </w:t>
      </w:r>
      <w:hyperlink w:history="0" r:id="rId161"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w:t>
      </w:r>
    </w:p>
    <w:p>
      <w:pPr>
        <w:pStyle w:val="0"/>
        <w:spacing w:before="240" w:lineRule="auto"/>
        <w:ind w:firstLine="540"/>
        <w:jc w:val="both"/>
      </w:pPr>
      <w:r>
        <w:rPr>
          <w:sz w:val="24"/>
        </w:rPr>
        <w:t xml:space="preserve">8.2. РГО проводит в отношении поступивших заявок на предоставление поручительства и (или) независимой гарантии оценку правоспособности и проверку деловой репутации субъекта МСП, физического лица, применяющего специальный налоговый режим "Налог на профессиональный доход", и (или) организации инфраструктуры поддержки, а в случаях, установленных внутренними документами РГО, - лиц, обеспечивающих исполнение обязательств субъекта МСП, физического лица, применяющего специальный налоговый режим "Налог на профессиональный доход", и (или) организации инфраструктуры поддержки, а также оценку риска возникновения у РГО потерь (убытков) вследствие неисполнения, несвоевременного либо неполного исполнения субъектами МСП, физическими лицами, применяющими специальный налоговый режим "Налог на профессиональный доход", организациями инфраструктуры поддержки обязательств, в обеспечение исполнения которых выдано поручительство и (или) независимая гарантия (далее - кредитный риск), в порядке и в соответствии с условиями, установленными внутренними документами РГО.</w:t>
      </w:r>
    </w:p>
    <w:p>
      <w:pPr>
        <w:pStyle w:val="0"/>
        <w:jc w:val="both"/>
      </w:pPr>
      <w:r>
        <w:rPr>
          <w:sz w:val="24"/>
        </w:rPr>
        <w:t xml:space="preserve">(в ред. Приказов Минэкономразвития России от 01.06.2020 </w:t>
      </w:r>
      <w:hyperlink w:history="0" r:id="rId162"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rPr>
        <w:t xml:space="preserve">, от 07.09.2020 </w:t>
      </w:r>
      <w:hyperlink w:history="0" r:id="rId163"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w:t>
      </w:r>
    </w:p>
    <w:p>
      <w:pPr>
        <w:pStyle w:val="0"/>
        <w:spacing w:before="240" w:lineRule="auto"/>
        <w:ind w:firstLine="540"/>
        <w:jc w:val="both"/>
      </w:pPr>
      <w:r>
        <w:rPr>
          <w:sz w:val="24"/>
        </w:rPr>
        <w:t xml:space="preserve">8.3. Подразделение (сотрудник), осуществляющие в РГО анализ кредитных рисков, действует независимо от деятельности подразделений, осуществляющих операции, подверженные риску, и их учет и находится в непосредственном подчинении руководителя РГО или его заместителя, в должностные обязанности которого не входит контроль и руководство подразделениями, осуществляющими операции, подверженные риску, и их учет.</w:t>
      </w:r>
    </w:p>
    <w:p>
      <w:pPr>
        <w:pStyle w:val="0"/>
        <w:spacing w:before="240" w:lineRule="auto"/>
        <w:ind w:firstLine="540"/>
        <w:jc w:val="both"/>
      </w:pPr>
      <w:r>
        <w:rPr>
          <w:sz w:val="24"/>
        </w:rPr>
        <w:t xml:space="preserve">Обязанность по оценке рисков в РГО с численностью сотрудников менее 8 (восьми) человек может быть возложена на руководителя РГО или его заместителя.</w:t>
      </w:r>
    </w:p>
    <w:p>
      <w:pPr>
        <w:pStyle w:val="0"/>
        <w:spacing w:before="240" w:lineRule="auto"/>
        <w:ind w:firstLine="540"/>
        <w:jc w:val="both"/>
      </w:pPr>
      <w:r>
        <w:rPr>
          <w:sz w:val="24"/>
        </w:rPr>
        <w:t xml:space="preserve">8.4. Сроки рассмотрения заявок РГО при условии комплектности документов, определенной высшим или иным уполномоченным органом РГО, и времени предоставления заявки до 11 часов 00 минут местного времени составляют:</w:t>
      </w:r>
    </w:p>
    <w:p>
      <w:pPr>
        <w:pStyle w:val="0"/>
        <w:spacing w:before="240" w:lineRule="auto"/>
        <w:ind w:firstLine="540"/>
        <w:jc w:val="both"/>
      </w:pPr>
      <w:r>
        <w:rPr>
          <w:sz w:val="24"/>
        </w:rPr>
        <w:t xml:space="preserve">1) 3 (три) рабочих дня для заявок, по которым размер поручительства и (или) независимой гарантии не превышает 5 млн. рублей;</w:t>
      </w:r>
    </w:p>
    <w:p>
      <w:pPr>
        <w:pStyle w:val="0"/>
        <w:spacing w:before="240" w:lineRule="auto"/>
        <w:ind w:firstLine="540"/>
        <w:jc w:val="both"/>
      </w:pPr>
      <w:r>
        <w:rPr>
          <w:sz w:val="24"/>
        </w:rPr>
        <w:t xml:space="preserve">2) 5 (пять) рабочих дней для заявок, по которым размер поручительства и (или) независимой гарантии составляет от 5 млн. до 25 млн. рублей;</w:t>
      </w:r>
    </w:p>
    <w:p>
      <w:pPr>
        <w:pStyle w:val="0"/>
        <w:spacing w:before="240" w:lineRule="auto"/>
        <w:ind w:firstLine="540"/>
        <w:jc w:val="both"/>
      </w:pPr>
      <w:r>
        <w:rPr>
          <w:sz w:val="24"/>
        </w:rPr>
        <w:t xml:space="preserve">3) 10 (десять) рабочих дней для заявок, по которым размер поручительства и (или) независимой гарантии составляет свыше 25 млн. рублей.</w:t>
      </w:r>
    </w:p>
    <w:p>
      <w:pPr>
        <w:pStyle w:val="0"/>
        <w:spacing w:before="240" w:lineRule="auto"/>
        <w:ind w:firstLine="540"/>
        <w:jc w:val="both"/>
      </w:pPr>
      <w:r>
        <w:rPr>
          <w:sz w:val="24"/>
        </w:rPr>
        <w:t xml:space="preserve">8.5. РГО по результатам рассмотрения заявки проводит работу по информированию субъекта МСП, физического лица, применяющего специальный налоговый режим "Налог на профессиональный доход", и (или) организации инфраструктуры поддержки о принятом решении по заявке, в том числе о причинах отказа в случае принятия решения об отказе в предоставлении поручительства и (или) независимой гарантии.</w:t>
      </w:r>
    </w:p>
    <w:p>
      <w:pPr>
        <w:pStyle w:val="0"/>
        <w:jc w:val="both"/>
      </w:pPr>
      <w:r>
        <w:rPr>
          <w:sz w:val="24"/>
        </w:rPr>
        <w:t xml:space="preserve">(п. 8.5 введен </w:t>
      </w:r>
      <w:hyperlink w:history="0" r:id="rId164"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Приказом</w:t>
        </w:r>
      </w:hyperlink>
      <w:r>
        <w:rPr>
          <w:sz w:val="24"/>
        </w:rPr>
        <w:t xml:space="preserve"> Минэкономразвития России от 07.09.2020 N 573)</w:t>
      </w:r>
    </w:p>
    <w:p>
      <w:pPr>
        <w:pStyle w:val="0"/>
        <w:spacing w:before="240" w:lineRule="auto"/>
        <w:ind w:firstLine="540"/>
        <w:jc w:val="both"/>
      </w:pPr>
      <w:r>
        <w:rPr>
          <w:sz w:val="24"/>
        </w:rPr>
        <w:t xml:space="preserve">8.6. При введении на всей территории Российской Федерации, территории субъекта Российской Федерации, муниципального образования режимов повышенной готовности или режима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направленных на отражение или предотвращение ведения боевых действий против Российской Федерации, и устранением угроз жизни и здоровью людей, РГО по решению учредителя РГО устанавливает упрощенные условия предоставления поручительств и (или) независимых гарантий, в том числе сокращенные сроки рассмотрения заявок на предоставление поручительств и (или) независимых гарантий, ставки вознаграждения ниже ставки, предусмотренной в </w:t>
      </w:r>
      <w:hyperlink w:history="0" w:anchor="P346" w:tooltip="9.2. Минимальная ставка вознаграждения за предоставление поручительства и (или) независимой гарантии устанавливается на уровне 0,5% годовых от суммы предоставляемого поручительства и (или) независимой гарантии.">
        <w:r>
          <w:rPr>
            <w:sz w:val="24"/>
            <w:color w:val="0000ff"/>
          </w:rPr>
          <w:t xml:space="preserve">пункте 9.2</w:t>
        </w:r>
      </w:hyperlink>
      <w:r>
        <w:rPr>
          <w:sz w:val="24"/>
        </w:rPr>
        <w:t xml:space="preserve"> настоящих Требований, без применения шага между ставками в размере 0,25 процентного пункта, предусмотренного в </w:t>
      </w:r>
      <w:hyperlink w:history="0" w:anchor="P351" w:tooltip="9.4. При установлении ставки вознаграждения за предоставление поручительства и (или) независимой гарантии РГО применяет шаг между ставками в размере 0,25 процентного пункта, за исключением случаев, установленных абзацем третьим пункта 9.2 настоящих Требований.">
        <w:r>
          <w:rPr>
            <w:sz w:val="24"/>
            <w:color w:val="0000ff"/>
          </w:rPr>
          <w:t xml:space="preserve">пункте 9.4</w:t>
        </w:r>
      </w:hyperlink>
      <w:r>
        <w:rPr>
          <w:sz w:val="24"/>
        </w:rPr>
        <w:t xml:space="preserve"> настоящих Требований, отсутствие процедур проверки задолженности субъектов МСП перед бюджетами бюджетной системы Российской Федерации, а также лимит предоставления поручительств и (или) независимых гарантий РГО (максимальный объем выданных (предоставленных) поручительств и (или) независимых гарантий РГО) для субъектов МСП и (или) физических лиц, применяющих специальный налоговый режим "Налог на профессиональный доход", и (или) организаций инфраструктуры поддержки на упрощенных условиях.</w:t>
      </w:r>
    </w:p>
    <w:p>
      <w:pPr>
        <w:pStyle w:val="0"/>
        <w:jc w:val="both"/>
      </w:pPr>
      <w:r>
        <w:rPr>
          <w:sz w:val="24"/>
        </w:rPr>
        <w:t xml:space="preserve">(п. 8.6 в ред. </w:t>
      </w:r>
      <w:hyperlink w:history="0" r:id="rId165"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Приказа</w:t>
        </w:r>
      </w:hyperlink>
      <w:r>
        <w:rPr>
          <w:sz w:val="24"/>
        </w:rPr>
        <w:t xml:space="preserve"> Минэкономразвития России от 17.06.2025 N 397)</w:t>
      </w:r>
    </w:p>
    <w:p>
      <w:pPr>
        <w:pStyle w:val="0"/>
        <w:jc w:val="both"/>
      </w:pPr>
      <w:r>
        <w:rPr>
          <w:sz w:val="24"/>
        </w:rPr>
      </w:r>
    </w:p>
    <w:p>
      <w:pPr>
        <w:pStyle w:val="2"/>
        <w:outlineLvl w:val="1"/>
        <w:jc w:val="center"/>
      </w:pPr>
      <w:r>
        <w:rPr>
          <w:sz w:val="24"/>
        </w:rPr>
        <w:t xml:space="preserve">IX. Порядок расчета вознаграждения за предоставление РГО</w:t>
      </w:r>
    </w:p>
    <w:p>
      <w:pPr>
        <w:pStyle w:val="2"/>
        <w:jc w:val="center"/>
      </w:pPr>
      <w:r>
        <w:rPr>
          <w:sz w:val="24"/>
        </w:rPr>
        <w:t xml:space="preserve">поручительств и (или) независимых гарантий</w:t>
      </w:r>
    </w:p>
    <w:p>
      <w:pPr>
        <w:pStyle w:val="0"/>
        <w:jc w:val="both"/>
      </w:pPr>
      <w:r>
        <w:rPr>
          <w:sz w:val="24"/>
        </w:rPr>
      </w:r>
    </w:p>
    <w:p>
      <w:pPr>
        <w:pStyle w:val="0"/>
        <w:ind w:firstLine="540"/>
        <w:jc w:val="both"/>
      </w:pPr>
      <w:r>
        <w:rPr>
          <w:sz w:val="24"/>
        </w:rPr>
        <w:t xml:space="preserve">9.1. Вознаграждение РГО за предоставляемое поручительство и (или) независимую гарантию определяется путем умножения объема (суммы) предоставляемого поручительства и (или) независимой гарантии на ставку вознаграждения выраженную в процентах годовых и предполагаемое количество дней использования поручительства и (или) независимой гарантии, деленное на действительное число календарных дней в году (365 или 366 дней соответственно).</w:t>
      </w:r>
    </w:p>
    <w:p>
      <w:pPr>
        <w:pStyle w:val="0"/>
        <w:jc w:val="both"/>
      </w:pPr>
      <w:r>
        <w:rPr>
          <w:sz w:val="24"/>
        </w:rPr>
        <w:t xml:space="preserve">(в ред. </w:t>
      </w:r>
      <w:hyperlink w:history="0" r:id="rId166"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Приказа</w:t>
        </w:r>
      </w:hyperlink>
      <w:r>
        <w:rPr>
          <w:sz w:val="24"/>
        </w:rPr>
        <w:t xml:space="preserve"> Минэкономразвития России от 06.12.2017 N 651)</w:t>
      </w:r>
    </w:p>
    <w:bookmarkStart w:id="346" w:name="P346"/>
    <w:bookmarkEnd w:id="346"/>
    <w:p>
      <w:pPr>
        <w:pStyle w:val="0"/>
        <w:spacing w:before="240" w:lineRule="auto"/>
        <w:ind w:firstLine="540"/>
        <w:jc w:val="both"/>
      </w:pPr>
      <w:r>
        <w:rPr>
          <w:sz w:val="24"/>
        </w:rPr>
        <w:t xml:space="preserve">9.2. Минимальная ставка вознаграждения за предоставление поручительства и (или) независимой гарантии устанавливается на уровне 0,5% годовых от суммы предоставляемого поручительства и (или) независимой гарантии.</w:t>
      </w:r>
    </w:p>
    <w:p>
      <w:pPr>
        <w:pStyle w:val="0"/>
        <w:spacing w:before="240" w:lineRule="auto"/>
        <w:ind w:firstLine="540"/>
        <w:jc w:val="both"/>
      </w:pPr>
      <w:r>
        <w:rPr>
          <w:sz w:val="24"/>
        </w:rPr>
        <w:t xml:space="preserve">Абзац утратил силу. - </w:t>
      </w:r>
      <w:hyperlink w:history="0" r:id="rId167"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Приказ</w:t>
        </w:r>
      </w:hyperlink>
      <w:r>
        <w:rPr>
          <w:sz w:val="24"/>
        </w:rPr>
        <w:t xml:space="preserve"> Минэкономразвития России от 31.10.2022 N 591.</w:t>
      </w:r>
    </w:p>
    <w:bookmarkStart w:id="348" w:name="P348"/>
    <w:bookmarkEnd w:id="348"/>
    <w:p>
      <w:pPr>
        <w:pStyle w:val="0"/>
        <w:spacing w:before="240" w:lineRule="auto"/>
        <w:ind w:firstLine="540"/>
        <w:jc w:val="both"/>
      </w:pPr>
      <w:r>
        <w:rPr>
          <w:sz w:val="24"/>
        </w:rPr>
        <w:t xml:space="preserve">Минимальная ставка вознаграждения за предоставление поручительства и (или) независимой гарантии может устанавливаться на уровне менее 0,5% годовых от суммы предоставляемого поручительства и (или) независимой гарантии для отдельных категорий субъектов МСП, физических лиц, применяющих специальный налоговый режим "Налог на профессиональный доход", организаций инфраструктуры поддержки (в том числе группы связанных компаний) в соответствии с </w:t>
      </w:r>
      <w:hyperlink w:history="0" w:anchor="P198" w:tooltip="1) лимиты на отдельные категории субъектов МСП, физических лиц, применяющих специальный налоговый режим &quot;Налог на профессиональный доход&quot;, организации инфраструктуры поддержки (в том числе группы связанных компаний);">
        <w:r>
          <w:rPr>
            <w:sz w:val="24"/>
            <w:color w:val="0000ff"/>
          </w:rPr>
          <w:t xml:space="preserve">подпунктом 1 пункта 5.4</w:t>
        </w:r>
      </w:hyperlink>
      <w:r>
        <w:rPr>
          <w:sz w:val="24"/>
        </w:rPr>
        <w:t xml:space="preserve"> настоящих Требований.</w:t>
      </w:r>
    </w:p>
    <w:p>
      <w:pPr>
        <w:pStyle w:val="0"/>
        <w:jc w:val="both"/>
      </w:pPr>
      <w:r>
        <w:rPr>
          <w:sz w:val="24"/>
        </w:rPr>
        <w:t xml:space="preserve">(абзац введен </w:t>
      </w:r>
      <w:hyperlink w:history="0" r:id="rId168"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Приказом</w:t>
        </w:r>
      </w:hyperlink>
      <w:r>
        <w:rPr>
          <w:sz w:val="24"/>
        </w:rPr>
        <w:t xml:space="preserve"> Минэкономразвития России от 24.09.2021 N 564)</w:t>
      </w:r>
    </w:p>
    <w:p>
      <w:pPr>
        <w:pStyle w:val="0"/>
        <w:spacing w:before="240" w:lineRule="auto"/>
        <w:ind w:firstLine="540"/>
        <w:jc w:val="both"/>
      </w:pPr>
      <w:r>
        <w:rPr>
          <w:sz w:val="24"/>
        </w:rPr>
        <w:t xml:space="preserve">9.3. Максимальный размер вознаграждения за предоставление поручительства и (или) независимой гарантии не должен превышать 3% годовых от суммы предоставляемого поручительства и (или) независимой гарантии.</w:t>
      </w:r>
    </w:p>
    <w:bookmarkStart w:id="351" w:name="P351"/>
    <w:bookmarkEnd w:id="351"/>
    <w:p>
      <w:pPr>
        <w:pStyle w:val="0"/>
        <w:spacing w:before="240" w:lineRule="auto"/>
        <w:ind w:firstLine="540"/>
        <w:jc w:val="both"/>
      </w:pPr>
      <w:r>
        <w:rPr>
          <w:sz w:val="24"/>
        </w:rPr>
        <w:t xml:space="preserve">9.4. При установлении ставки вознаграждения за предоставление поручительства и (или) независимой гарантии РГО применяет шаг между ставками в размере 0,25 процентного пункта, за исключением случаев, установленных </w:t>
      </w:r>
      <w:hyperlink w:history="0" w:anchor="P348" w:tooltip="Минимальная ставка вознаграждения за предоставление поручительства и (или) независимой гарантии может устанавливаться на уровне менее 0,5% годовых от суммы предоставляемого поручительства и (или) независимой гарантии для отдельных категорий субъектов МСП, физических лиц, применяющих специальный налоговый режим &quot;Налог на профессиональный доход&quot;, организаций инфраструктуры поддержки (в том числе группы связанных компаний) в соответствии с подпунктом 1 пункта 5.4 настоящих Требований.">
        <w:r>
          <w:rPr>
            <w:sz w:val="24"/>
            <w:color w:val="0000ff"/>
          </w:rPr>
          <w:t xml:space="preserve">абзацем третьим пункта 9.2</w:t>
        </w:r>
      </w:hyperlink>
      <w:r>
        <w:rPr>
          <w:sz w:val="24"/>
        </w:rPr>
        <w:t xml:space="preserve"> настоящих Требований.</w:t>
      </w:r>
    </w:p>
    <w:p>
      <w:pPr>
        <w:pStyle w:val="0"/>
        <w:jc w:val="both"/>
      </w:pPr>
      <w:r>
        <w:rPr>
          <w:sz w:val="24"/>
        </w:rPr>
        <w:t xml:space="preserve">(в ред. </w:t>
      </w:r>
      <w:hyperlink w:history="0" r:id="rId169"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Приказа</w:t>
        </w:r>
      </w:hyperlink>
      <w:r>
        <w:rPr>
          <w:sz w:val="24"/>
        </w:rPr>
        <w:t xml:space="preserve"> Минэкономразвития России от 31.10.2022 N 591)</w:t>
      </w:r>
    </w:p>
    <w:p>
      <w:pPr>
        <w:pStyle w:val="0"/>
        <w:spacing w:before="240" w:lineRule="auto"/>
        <w:ind w:firstLine="540"/>
        <w:jc w:val="both"/>
      </w:pPr>
      <w:r>
        <w:rPr>
          <w:sz w:val="24"/>
        </w:rPr>
        <w:t xml:space="preserve">9.5. Размер ставок вознаграждения за предоставление поручительства и (или) независимой гарантии РГО утверждается решением высшего или иного уполномоченного органа управления РГО.</w:t>
      </w:r>
    </w:p>
    <w:p>
      <w:pPr>
        <w:pStyle w:val="0"/>
        <w:spacing w:before="240" w:lineRule="auto"/>
        <w:ind w:firstLine="540"/>
        <w:jc w:val="both"/>
      </w:pPr>
      <w:r>
        <w:rPr>
          <w:sz w:val="24"/>
        </w:rPr>
        <w:t xml:space="preserve">9.6. Порядок и сроки уплаты вознаграждения за предоставляемое поручительство и (или) независимую гарантию устанавливаются РГО самостоятельно и отражаются в заключаемых договорах поручительства и (или) независимой гарантии.</w:t>
      </w:r>
    </w:p>
    <w:p>
      <w:pPr>
        <w:pStyle w:val="0"/>
        <w:spacing w:before="240" w:lineRule="auto"/>
        <w:ind w:firstLine="540"/>
        <w:jc w:val="both"/>
      </w:pPr>
      <w:r>
        <w:rPr>
          <w:sz w:val="24"/>
        </w:rPr>
        <w:t xml:space="preserve">9.7. При сумме поручительства и (или) независимой гарантии более 50 млн. рублей вознаграждение за поручительство и (или) независимую гарантию по заявлению заемщика (лизингополучателя) или финансовой организации подлежит ежегодному пересчету исходя из суммы обязательств субъекта МСП, физического лица, применяющего специальный налоговый режим "Налог на профессиональный доход", и (или) организации инфраструктуры поддержки по состоянию на дату начала следующего финансового года.</w:t>
      </w:r>
    </w:p>
    <w:p>
      <w:pPr>
        <w:pStyle w:val="0"/>
        <w:jc w:val="both"/>
      </w:pPr>
      <w:r>
        <w:rPr>
          <w:sz w:val="24"/>
        </w:rPr>
        <w:t xml:space="preserve">(в ред. </w:t>
      </w:r>
      <w:hyperlink w:history="0" r:id="rId170"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jc w:val="both"/>
      </w:pPr>
      <w:r>
        <w:rPr>
          <w:sz w:val="24"/>
        </w:rPr>
      </w:r>
    </w:p>
    <w:p>
      <w:pPr>
        <w:pStyle w:val="2"/>
        <w:outlineLvl w:val="1"/>
        <w:jc w:val="center"/>
      </w:pPr>
      <w:r>
        <w:rPr>
          <w:sz w:val="24"/>
        </w:rPr>
        <w:t xml:space="preserve">X. Порядок инвестирования и (или) размещения временно</w:t>
      </w:r>
    </w:p>
    <w:p>
      <w:pPr>
        <w:pStyle w:val="2"/>
        <w:jc w:val="center"/>
      </w:pPr>
      <w:r>
        <w:rPr>
          <w:sz w:val="24"/>
        </w:rPr>
        <w:t xml:space="preserve">свободных средств РГО</w:t>
      </w:r>
    </w:p>
    <w:p>
      <w:pPr>
        <w:pStyle w:val="0"/>
        <w:jc w:val="both"/>
      </w:pPr>
      <w:r>
        <w:rPr>
          <w:sz w:val="24"/>
        </w:rPr>
      </w:r>
    </w:p>
    <w:p>
      <w:pPr>
        <w:pStyle w:val="0"/>
        <w:ind w:firstLine="540"/>
        <w:jc w:val="both"/>
      </w:pPr>
      <w:r>
        <w:rPr>
          <w:sz w:val="24"/>
        </w:rPr>
        <w:t xml:space="preserve">10.1. РГО осуществляет инвестирование и (или) размещение временно свободных денежных средств в:</w:t>
      </w:r>
    </w:p>
    <w:p>
      <w:pPr>
        <w:pStyle w:val="0"/>
        <w:spacing w:before="240" w:lineRule="auto"/>
        <w:ind w:firstLine="540"/>
        <w:jc w:val="both"/>
      </w:pPr>
      <w:r>
        <w:rPr>
          <w:sz w:val="24"/>
        </w:rPr>
        <w:t xml:space="preserve">1) государственные ценные бумаги Российской Федерации;</w:t>
      </w:r>
    </w:p>
    <w:p>
      <w:pPr>
        <w:pStyle w:val="0"/>
        <w:spacing w:before="240" w:lineRule="auto"/>
        <w:ind w:firstLine="540"/>
        <w:jc w:val="both"/>
      </w:pPr>
      <w:r>
        <w:rPr>
          <w:sz w:val="24"/>
        </w:rPr>
        <w:t xml:space="preserve">2) депозиты и (или) расчетные счета в кредитных организациях, номинированные в валюте Российской Федерации денежные средства в рублях на счетах в кредитных организациях;</w:t>
      </w:r>
    </w:p>
    <w:bookmarkStart w:id="364" w:name="P364"/>
    <w:bookmarkEnd w:id="364"/>
    <w:p>
      <w:pPr>
        <w:pStyle w:val="0"/>
        <w:spacing w:before="240" w:lineRule="auto"/>
        <w:ind w:firstLine="540"/>
        <w:jc w:val="both"/>
      </w:pPr>
      <w:r>
        <w:rPr>
          <w:sz w:val="24"/>
        </w:rPr>
        <w:t xml:space="preserve">10.2. РГО в целях размещения временно свободных денежных средств на депозитах и расчетных счетах кредитных организаций проводит отбор кредитных организаций при условии одновременного соблюдения следующих требований:</w:t>
      </w:r>
    </w:p>
    <w:bookmarkStart w:id="365" w:name="P365"/>
    <w:bookmarkEnd w:id="365"/>
    <w:p>
      <w:pPr>
        <w:pStyle w:val="0"/>
        <w:spacing w:before="240" w:lineRule="auto"/>
        <w:ind w:firstLine="540"/>
        <w:jc w:val="both"/>
      </w:pPr>
      <w:r>
        <w:rPr>
          <w:sz w:val="24"/>
        </w:rPr>
        <w:t xml:space="preserve">1) наличие у кредитной организации универсальной или базовой лицензии Центрального Банка Российской Федерации на осуществление банковских операций;</w:t>
      </w:r>
    </w:p>
    <w:p>
      <w:pPr>
        <w:pStyle w:val="0"/>
        <w:jc w:val="both"/>
      </w:pPr>
      <w:r>
        <w:rPr>
          <w:sz w:val="24"/>
        </w:rPr>
        <w:t xml:space="preserve">(в ред. </w:t>
      </w:r>
      <w:hyperlink w:history="0" r:id="rId171"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Приказа</w:t>
        </w:r>
      </w:hyperlink>
      <w:r>
        <w:rPr>
          <w:sz w:val="24"/>
        </w:rPr>
        <w:t xml:space="preserve"> Минэкономразвития России от 06.12.2017 N 651)</w:t>
      </w:r>
    </w:p>
    <w:bookmarkStart w:id="367" w:name="P367"/>
    <w:bookmarkEnd w:id="367"/>
    <w:p>
      <w:pPr>
        <w:pStyle w:val="0"/>
        <w:spacing w:before="240" w:lineRule="auto"/>
        <w:ind w:firstLine="540"/>
        <w:jc w:val="both"/>
      </w:pPr>
      <w:r>
        <w:rPr>
          <w:sz w:val="24"/>
        </w:rPr>
        <w:t xml:space="preserve">2) наличие у кредитной организации собственных средств (капитала) в размере не менее 50 млрд. рублей по данным Центрального Банка Российской Федерации, публикуемым на официальном сайте </w:t>
      </w:r>
      <w:hyperlink w:history="0" r:id="rId172">
        <w:r>
          <w:rPr>
            <w:sz w:val="24"/>
            <w:color w:val="0000ff"/>
          </w:rPr>
          <w:t xml:space="preserve">www.cbr.ru</w:t>
        </w:r>
      </w:hyperlink>
      <w:r>
        <w:rPr>
          <w:sz w:val="24"/>
        </w:rPr>
        <w:t xml:space="preserve"> в сети "Интернет" в соответствии со </w:t>
      </w:r>
      <w:hyperlink w:history="0" r:id="rId173" w:tooltip="Федеральный закон от 10.07.2002 N 86-ФЗ (ред. от 31.07.2025) &quot;О Центральном банке Российской Федерации (Банке России)&quot; (с изм. и доп., вступ. в силу с 01.10.2025) {КонсультантПлюс}">
        <w:r>
          <w:rPr>
            <w:sz w:val="24"/>
            <w:color w:val="0000ff"/>
          </w:rPr>
          <w:t xml:space="preserve">статьей 57</w:t>
        </w:r>
      </w:hyperlink>
      <w:r>
        <w:rPr>
          <w:sz w:val="24"/>
        </w:rPr>
        <w:t xml:space="preserve"> Закона о Банке России или на основании информации, представленной кредитной организацией по запросу РГО,</w:t>
      </w:r>
    </w:p>
    <w:p>
      <w:pPr>
        <w:pStyle w:val="0"/>
        <w:jc w:val="both"/>
      </w:pPr>
      <w:r>
        <w:rPr>
          <w:sz w:val="24"/>
        </w:rPr>
        <w:t xml:space="preserve">(в ред. </w:t>
      </w:r>
      <w:hyperlink w:history="0" r:id="rId174"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Приказа</w:t>
        </w:r>
      </w:hyperlink>
      <w:r>
        <w:rPr>
          <w:sz w:val="24"/>
        </w:rPr>
        <w:t xml:space="preserve"> Минэкономразвития России от 31.10.2022 N 591)</w:t>
      </w:r>
    </w:p>
    <w:bookmarkStart w:id="369" w:name="P369"/>
    <w:bookmarkEnd w:id="369"/>
    <w:p>
      <w:pPr>
        <w:pStyle w:val="0"/>
        <w:spacing w:before="240" w:lineRule="auto"/>
        <w:ind w:firstLine="540"/>
        <w:jc w:val="both"/>
      </w:pPr>
      <w:r>
        <w:rPr>
          <w:sz w:val="24"/>
        </w:rPr>
        <w:t xml:space="preserve">3) наличие у кредитной организации кредитного рейтинга по национальной рейтинговой шкале для Российской Федерации кредитного рейтингового агентства акционерного общества "Аналитическое Кредитное рейтинговое агентство" не ниже уровня "A-(RU)", кредитного рейтингового агентства акционерного общества "Рейтинговое агентство "Эксперт РА" не ниже уровня "ruA-", кредитного рейтингового агентства общество с ограниченной ответственностью "Национальные Кредитные Рейтинги" не ниже уровня "A-.ru" или кредитного рейтингового агентства общество с ограниченной ответственностью "Национальное Рейтинговое Агентство" не ниже уровня "A-|ru|";</w:t>
      </w:r>
    </w:p>
    <w:p>
      <w:pPr>
        <w:pStyle w:val="0"/>
        <w:jc w:val="both"/>
      </w:pPr>
      <w:r>
        <w:rPr>
          <w:sz w:val="24"/>
        </w:rPr>
        <w:t xml:space="preserve">(пп. 3 в ред. </w:t>
      </w:r>
      <w:hyperlink w:history="0" r:id="rId175"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Приказа</w:t>
        </w:r>
      </w:hyperlink>
      <w:r>
        <w:rPr>
          <w:sz w:val="24"/>
        </w:rPr>
        <w:t xml:space="preserve"> Минэкономразвития России от 17.06.2025 N 397)</w:t>
      </w:r>
    </w:p>
    <w:bookmarkStart w:id="371" w:name="P371"/>
    <w:bookmarkEnd w:id="371"/>
    <w:p>
      <w:pPr>
        <w:pStyle w:val="0"/>
        <w:spacing w:before="240" w:lineRule="auto"/>
        <w:ind w:firstLine="540"/>
        <w:jc w:val="both"/>
      </w:pPr>
      <w:r>
        <w:rPr>
          <w:sz w:val="24"/>
        </w:rPr>
        <w:t xml:space="preserve">4) срок деятельности кредитной организации с даты ее регистрации составляет не менее 5 (пяти) лет;</w:t>
      </w:r>
    </w:p>
    <w:p>
      <w:pPr>
        <w:pStyle w:val="0"/>
        <w:spacing w:before="240" w:lineRule="auto"/>
        <w:ind w:firstLine="540"/>
        <w:jc w:val="both"/>
      </w:pPr>
      <w:r>
        <w:rPr>
          <w:sz w:val="24"/>
        </w:rPr>
        <w:t xml:space="preserve">5) отсутствие действующей в отношении кредитной организации меры воздействия, примененной Центральным Банком Российской Федерации за нарушение обязательных нормативов, установленных в соответствии с </w:t>
      </w:r>
      <w:hyperlink w:history="0" r:id="rId176" w:tooltip="Федеральный закон от 10.07.2002 N 86-ФЗ (ред. от 31.07.2025) &quot;О Центральном банке Российской Федерации (Банке России)&quot; (с изм. и доп., вступ. в силу с 01.10.2025) {КонсультантПлюс}">
        <w:r>
          <w:rPr>
            <w:sz w:val="24"/>
            <w:color w:val="0000ff"/>
          </w:rPr>
          <w:t xml:space="preserve">Законом</w:t>
        </w:r>
      </w:hyperlink>
      <w:r>
        <w:rPr>
          <w:sz w:val="24"/>
        </w:rPr>
        <w:t xml:space="preserve"> о Банке России;</w:t>
      </w:r>
    </w:p>
    <w:p>
      <w:pPr>
        <w:pStyle w:val="0"/>
        <w:spacing w:before="240" w:lineRule="auto"/>
        <w:ind w:firstLine="540"/>
        <w:jc w:val="both"/>
      </w:pPr>
      <w:r>
        <w:rPr>
          <w:sz w:val="24"/>
        </w:rPr>
        <w:t xml:space="preserve">6) отсутствие у кредитной организации в течение последних 12 (двенадцати) месяцев просроченных денежных обязательств по операциям с Банком России, в том числе по кредитам Банка России и процентам по ним, а также отсутствие у кредитной организации просроченной задолженности по банковским депозитам, ранее размещенным в ней за счет средств РГО;</w:t>
      </w:r>
    </w:p>
    <w:bookmarkStart w:id="374" w:name="P374"/>
    <w:bookmarkEnd w:id="374"/>
    <w:p>
      <w:pPr>
        <w:pStyle w:val="0"/>
        <w:spacing w:before="240" w:lineRule="auto"/>
        <w:ind w:firstLine="540"/>
        <w:jc w:val="both"/>
      </w:pPr>
      <w:r>
        <w:rPr>
          <w:sz w:val="24"/>
        </w:rPr>
        <w:t xml:space="preserve">7) участие кредитной организации в системе обязательного страхования вкладов в банках Российской Федерации в соответствии с Федеральным </w:t>
      </w:r>
      <w:hyperlink w:history="0" r:id="rId177" w:tooltip="Федеральный закон от 23.12.2003 N 177-ФЗ (ред. от 31.07.2025) &quot;О страховании вкладов в банках Российской Федерации&quot; (с изм. и доп., вступ. в силу с 30.10.2025) {КонсультантПлюс}">
        <w:r>
          <w:rPr>
            <w:sz w:val="24"/>
            <w:color w:val="0000ff"/>
          </w:rPr>
          <w:t xml:space="preserve">законом</w:t>
        </w:r>
      </w:hyperlink>
      <w:r>
        <w:rPr>
          <w:sz w:val="24"/>
        </w:rPr>
        <w:t xml:space="preserve"> от 23 декабря 2003 г. N 177-ФЗ "О страховании вкладов в банках Российской Федерации" (Собрание законодательства Российской Федерации, 2003, N 52, ст. 5029; 2004, N 34, ст. 3521; 2005, N 1, ст. 23; N 43, ст. 4351; 2006, N 31, ст. 3449; 2007, N 12, ст. 1350; 2008, N 42, ст. 4699; N 52, ст. 6225; 2009, N 48, ст. 5731; 2011, N 1, ст. 49; N 27, ст. 3873; N 29, ст. 4262; 2013, N 19, ст. 2308; N 27, ст. 3438; N 49, ст. 6336; N 52, ст. 6975; 2014, N 14, ст. 1533; N 30, ст. 4219; N 52, ст. 7543; 2015, N 1, ст. 4, 14; N 27, ст. 3958; N 29, ст. 4355; 2016, N 27, ст. 4297).</w:t>
      </w:r>
    </w:p>
    <w:p>
      <w:pPr>
        <w:pStyle w:val="0"/>
        <w:jc w:val="both"/>
      </w:pPr>
      <w:r>
        <w:rPr>
          <w:sz w:val="24"/>
        </w:rPr>
        <w:t xml:space="preserve">(в ред. </w:t>
      </w:r>
      <w:hyperlink w:history="0" r:id="rId178" w:tooltip="Приказ Минэкономразвития России от 10.12.2018 N 694 (ред. от 14.04.2025) &quot;О внесении изменений в некоторые приказы Минэкономразвития России в связи с принятием Федерального закона от 3 августа 2018 г.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Зарегистрировано в Минюсте России 17.01.2019 N 53390) {КонсультантПлюс}">
        <w:r>
          <w:rPr>
            <w:sz w:val="24"/>
            <w:color w:val="0000ff"/>
          </w:rPr>
          <w:t xml:space="preserve">Приказа</w:t>
        </w:r>
      </w:hyperlink>
      <w:r>
        <w:rPr>
          <w:sz w:val="24"/>
        </w:rPr>
        <w:t xml:space="preserve"> Минэкономразвития России от 10.12.2018 N 694)</w:t>
      </w:r>
    </w:p>
    <w:bookmarkStart w:id="376" w:name="P376"/>
    <w:bookmarkEnd w:id="376"/>
    <w:p>
      <w:pPr>
        <w:pStyle w:val="0"/>
        <w:spacing w:before="240" w:lineRule="auto"/>
        <w:ind w:firstLine="540"/>
        <w:jc w:val="both"/>
      </w:pPr>
      <w:r>
        <w:rPr>
          <w:sz w:val="24"/>
        </w:rPr>
        <w:t xml:space="preserve">10.3. РГО Республики Крым и (или) города федерального значения Севастополь проводят отбор кредитных организаций для размещения временно свободных денежных средств на основании требований </w:t>
      </w:r>
      <w:hyperlink w:history="0" w:anchor="P364" w:tooltip="10.2. РГО в целях размещения временно свободных денежных средств на депозитах и расчетных счетах кредитных организаций проводит отбор кредитных организаций при условии одновременного соблюдения следующих требований:">
        <w:r>
          <w:rPr>
            <w:sz w:val="24"/>
            <w:color w:val="0000ff"/>
          </w:rPr>
          <w:t xml:space="preserve">пункта 10.2</w:t>
        </w:r>
      </w:hyperlink>
      <w:r>
        <w:rPr>
          <w:sz w:val="24"/>
        </w:rPr>
        <w:t xml:space="preserve"> настоящих Требований.</w:t>
      </w:r>
    </w:p>
    <w:p>
      <w:pPr>
        <w:pStyle w:val="0"/>
        <w:spacing w:before="240" w:lineRule="auto"/>
        <w:ind w:firstLine="540"/>
        <w:jc w:val="both"/>
      </w:pPr>
      <w:r>
        <w:rPr>
          <w:sz w:val="24"/>
        </w:rPr>
        <w:t xml:space="preserve">В случае отсутствия на территории Республики Крым и (или) города федерального значения Севастополь обособленных территориальных подразделений кредитных организаций, соответствующих требованиям </w:t>
      </w:r>
      <w:hyperlink w:history="0" w:anchor="P367" w:tooltip="2) наличие у кредитной организации собственных средств (капитала) в размере не менее 50 млрд. рублей по данным Центрального Банка Российской Федерации, публикуемым на официальном сайте www.cbr.ru в сети &quot;Интернет&quot; в соответствии со статьей 57 Закона о Банке России или на основании информации, представленной кредитной организацией по запросу РГО,">
        <w:r>
          <w:rPr>
            <w:sz w:val="24"/>
            <w:color w:val="0000ff"/>
          </w:rPr>
          <w:t xml:space="preserve">подпунктов 2</w:t>
        </w:r>
      </w:hyperlink>
      <w:r>
        <w:rPr>
          <w:sz w:val="24"/>
        </w:rPr>
        <w:t xml:space="preserve"> и </w:t>
      </w:r>
      <w:hyperlink w:history="0" w:anchor="P369" w:tooltip="3) наличие у кредитной организации кредитного рейтинга по национальной рейтинговой шкале для Российской Федерации кредитного рейтингового агентства акционерного общества &quot;Аналитическое Кредитное рейтинговое агентство&quot; не ниже уровня &quot;A-(RU)&quot;, кредитного рейтингового агентства акционерного общества &quot;Рейтинговое агентство &quot;Эксперт РА&quot; не ниже уровня &quot;ruA-&quot;, кредитного рейтингового агентства общество с ограниченной ответственностью &quot;Национальные Кредитные Рейтинги&quot; не ниже уровня &quot;A-.ru&quot; или кредитного рейт...">
        <w:r>
          <w:rPr>
            <w:sz w:val="24"/>
            <w:color w:val="0000ff"/>
          </w:rPr>
          <w:t xml:space="preserve">3 пункта 10.2</w:t>
        </w:r>
      </w:hyperlink>
      <w:r>
        <w:rPr>
          <w:sz w:val="24"/>
        </w:rPr>
        <w:t xml:space="preserve"> настоящих Требований, отбор кредитных организаций для размещения временно свободных денежных средств осуществляется на основании совокупности требований, предусмотренных </w:t>
      </w:r>
      <w:hyperlink w:history="0" w:anchor="P365" w:tooltip="1) наличие у кредитной организации универсальной или базовой лицензии Центрального Банка Российской Федерации на осуществление банковских операций;">
        <w:r>
          <w:rPr>
            <w:sz w:val="24"/>
            <w:color w:val="0000ff"/>
          </w:rPr>
          <w:t xml:space="preserve">подпунктами 1</w:t>
        </w:r>
      </w:hyperlink>
      <w:r>
        <w:rPr>
          <w:sz w:val="24"/>
        </w:rPr>
        <w:t xml:space="preserve">, </w:t>
      </w:r>
      <w:hyperlink w:history="0" w:anchor="P371" w:tooltip="4) срок деятельности кредитной организации с даты ее регистрации составляет не менее 5 (пяти) лет;">
        <w:r>
          <w:rPr>
            <w:sz w:val="24"/>
            <w:color w:val="0000ff"/>
          </w:rPr>
          <w:t xml:space="preserve">4</w:t>
        </w:r>
      </w:hyperlink>
      <w:r>
        <w:rPr>
          <w:sz w:val="24"/>
        </w:rPr>
        <w:t xml:space="preserve"> - </w:t>
      </w:r>
      <w:hyperlink w:history="0" w:anchor="P374" w:tooltip="7) участие кредитной организации в системе обязательного страхования вкладов в банках Российской Федерации в соответствии с Федеральным законом от 23 декабря 2003 г. N 177-ФЗ &quot;О страховании вкладов в банках Российской Федерации&quot; (Собрание законодательства Российской Федерации, 2003, N 52, ст. 5029; 2004, N 34, ст. 3521; 2005, N 1, ст. 23; N 43, ст. 4351; 2006, N 31, ст. 3449; 2007, N 12, ст. 1350; 2008, N 42, ст. 4699; N 52, ст. 6225; 2009, N 48, ст. 5731; 2011, N 1, ст. 49; N 27, ст. 3873; N 29, ст. 426...">
        <w:r>
          <w:rPr>
            <w:sz w:val="24"/>
            <w:color w:val="0000ff"/>
          </w:rPr>
          <w:t xml:space="preserve">7 пункта 10.2</w:t>
        </w:r>
      </w:hyperlink>
      <w:r>
        <w:rPr>
          <w:sz w:val="24"/>
        </w:rPr>
        <w:t xml:space="preserve"> настоящих Требований, а также требований к кредитной организации о наличии собственных средств капитала не менее 10 млрд. рублей и рейтинга долгосрочной кредитоспособности, присвоенного как минимум одним из российских рейтинговых агентств на уровне не ниже "А" по классификации акционерного общества "Рейтинговое Агентство "Эксперт РА", кредитного рейтингового агентства акционерное общество "Аналитическое Кредитное рейтинговое агентство", кредитного рейтингового агентства общество с ограниченной ответственностью "Национальные Кредитные Рейтинги" или кредитного рейтингового агентства общество с ограниченной ответственностью "Национальное Рейтинговое Агентство".</w:t>
      </w:r>
    </w:p>
    <w:p>
      <w:pPr>
        <w:pStyle w:val="0"/>
        <w:jc w:val="both"/>
      </w:pPr>
      <w:r>
        <w:rPr>
          <w:sz w:val="24"/>
        </w:rPr>
        <w:t xml:space="preserve">(в ред. Приказов Минэкономразвития России от 06.12.2017 </w:t>
      </w:r>
      <w:hyperlink w:history="0" r:id="rId179"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rPr>
        <w:t xml:space="preserve">, от 01.06.2020 </w:t>
      </w:r>
      <w:hyperlink w:history="0" r:id="rId180"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rPr>
        <w:t xml:space="preserve">, от 17.06.2025 </w:t>
      </w:r>
      <w:hyperlink w:history="0" r:id="rId181"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N 397</w:t>
        </w:r>
      </w:hyperlink>
      <w:r>
        <w:rPr>
          <w:sz w:val="24"/>
        </w:rPr>
        <w:t xml:space="preserve">)</w:t>
      </w:r>
    </w:p>
    <w:p>
      <w:pPr>
        <w:pStyle w:val="0"/>
        <w:spacing w:before="240" w:lineRule="auto"/>
        <w:ind w:firstLine="540"/>
        <w:jc w:val="both"/>
      </w:pPr>
      <w:r>
        <w:rPr>
          <w:sz w:val="24"/>
        </w:rPr>
        <w:t xml:space="preserve">10.4. Основным критерием отбора кредитных организаций, соответствующих требованиям </w:t>
      </w:r>
      <w:hyperlink w:history="0" w:anchor="P364" w:tooltip="10.2. РГО в целях размещения временно свободных денежных средств на депозитах и расчетных счетах кредитных организаций проводит отбор кредитных организаций при условии одновременного соблюдения следующих требований:">
        <w:r>
          <w:rPr>
            <w:sz w:val="24"/>
            <w:color w:val="0000ff"/>
          </w:rPr>
          <w:t xml:space="preserve">пунктов 10.2</w:t>
        </w:r>
      </w:hyperlink>
      <w:r>
        <w:rPr>
          <w:sz w:val="24"/>
        </w:rPr>
        <w:t xml:space="preserve">, </w:t>
      </w:r>
      <w:hyperlink w:history="0" w:anchor="P376" w:tooltip="10.3. РГО Республики Крым и (или) города федерального значения Севастополь проводят отбор кредитных организаций для размещения временно свободных денежных средств на основании требований пункта 10.2 настоящих Требований.">
        <w:r>
          <w:rPr>
            <w:sz w:val="24"/>
            <w:color w:val="0000ff"/>
          </w:rPr>
          <w:t xml:space="preserve">10.3</w:t>
        </w:r>
      </w:hyperlink>
      <w:r>
        <w:rPr>
          <w:sz w:val="24"/>
        </w:rPr>
        <w:t xml:space="preserve"> настоящих Требований, для размещения в них временно свободных денежных средств РГО на депозитах является предлагаемая процентная ставка.</w:t>
      </w:r>
    </w:p>
    <w:p>
      <w:pPr>
        <w:pStyle w:val="0"/>
        <w:spacing w:before="240" w:lineRule="auto"/>
        <w:ind w:firstLine="540"/>
        <w:jc w:val="both"/>
      </w:pPr>
      <w:r>
        <w:rPr>
          <w:sz w:val="24"/>
        </w:rPr>
        <w:t xml:space="preserve">10.5. С целью управления ликвидностью и платежеспособностью РГО размещают денежные средства на депозитах кредитных организаций на срок не более 1 (одного) года.</w:t>
      </w:r>
    </w:p>
    <w:bookmarkStart w:id="381" w:name="P381"/>
    <w:bookmarkEnd w:id="381"/>
    <w:p>
      <w:pPr>
        <w:pStyle w:val="0"/>
        <w:spacing w:before="240" w:lineRule="auto"/>
        <w:ind w:firstLine="540"/>
        <w:jc w:val="both"/>
      </w:pPr>
      <w:r>
        <w:rPr>
          <w:sz w:val="24"/>
        </w:rPr>
        <w:t xml:space="preserve">10.6. Максимальный размер денежных средств, размещенных на расчетных счетах и депозитах в одной кредитной организации устанавливается высшим или иным уполномоченным органом управления РГО на 1 (первое) число текущего финансового года и, не должен превышать:</w:t>
      </w:r>
    </w:p>
    <w:p>
      <w:pPr>
        <w:pStyle w:val="0"/>
        <w:spacing w:before="240" w:lineRule="auto"/>
        <w:ind w:firstLine="540"/>
        <w:jc w:val="both"/>
      </w:pPr>
      <w:r>
        <w:rPr>
          <w:sz w:val="24"/>
        </w:rPr>
        <w:t xml:space="preserve">1) 30% от общего размера денежных средств для РГО с гарантийным капиталом более 700 млн. рублей;</w:t>
      </w:r>
    </w:p>
    <w:p>
      <w:pPr>
        <w:pStyle w:val="0"/>
        <w:spacing w:before="240" w:lineRule="auto"/>
        <w:ind w:firstLine="540"/>
        <w:jc w:val="both"/>
      </w:pPr>
      <w:r>
        <w:rPr>
          <w:sz w:val="24"/>
        </w:rPr>
        <w:t xml:space="preserve">2) 40% от общего размера денежных средств РГО с гарантийным капиталом более 300 млн. рублей и менее 700 млн. рублей;</w:t>
      </w:r>
    </w:p>
    <w:p>
      <w:pPr>
        <w:pStyle w:val="0"/>
        <w:jc w:val="both"/>
      </w:pPr>
      <w:r>
        <w:rPr>
          <w:sz w:val="24"/>
        </w:rPr>
        <w:t xml:space="preserve">(в ред. </w:t>
      </w:r>
      <w:hyperlink w:history="0" r:id="rId182"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Приказа</w:t>
        </w:r>
      </w:hyperlink>
      <w:r>
        <w:rPr>
          <w:sz w:val="24"/>
        </w:rPr>
        <w:t xml:space="preserve"> Минэкономразвития России от 06.12.2017 N 651)</w:t>
      </w:r>
    </w:p>
    <w:p>
      <w:pPr>
        <w:pStyle w:val="0"/>
        <w:spacing w:before="240" w:lineRule="auto"/>
        <w:ind w:firstLine="540"/>
        <w:jc w:val="both"/>
      </w:pPr>
      <w:r>
        <w:rPr>
          <w:sz w:val="24"/>
        </w:rPr>
        <w:t xml:space="preserve">3) 60% от общего размера денежных средств РГО с гарантийным капиталом менее 300 млн. рублей.</w:t>
      </w:r>
    </w:p>
    <w:p>
      <w:pPr>
        <w:pStyle w:val="0"/>
        <w:jc w:val="both"/>
      </w:pPr>
      <w:r>
        <w:rPr>
          <w:sz w:val="24"/>
        </w:rPr>
        <w:t xml:space="preserve">(пп. 3 в ред. </w:t>
      </w:r>
      <w:hyperlink w:history="0" r:id="rId183"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bookmarkStart w:id="387" w:name="P387"/>
    <w:bookmarkEnd w:id="387"/>
    <w:p>
      <w:pPr>
        <w:pStyle w:val="0"/>
        <w:spacing w:before="240" w:lineRule="auto"/>
        <w:ind w:firstLine="540"/>
        <w:jc w:val="both"/>
      </w:pPr>
      <w:r>
        <w:rPr>
          <w:sz w:val="24"/>
        </w:rPr>
        <w:t xml:space="preserve">10.6.1. РГО вправе размещать на расчетных счетах кредитных организаций, соответствующих требованиям, установленным </w:t>
      </w:r>
      <w:hyperlink w:history="0" w:anchor="P364" w:tooltip="10.2. РГО в целях размещения временно свободных денежных средств на депозитах и расчетных счетах кредитных организаций проводит отбор кредитных организаций при условии одновременного соблюдения следующих требований:">
        <w:r>
          <w:rPr>
            <w:sz w:val="24"/>
            <w:color w:val="0000ff"/>
          </w:rPr>
          <w:t xml:space="preserve">пунктами 10.2</w:t>
        </w:r>
      </w:hyperlink>
      <w:r>
        <w:rPr>
          <w:sz w:val="24"/>
        </w:rPr>
        <w:t xml:space="preserve"> и </w:t>
      </w:r>
      <w:hyperlink w:history="0" w:anchor="P376" w:tooltip="10.3. РГО Республики Крым и (или) города федерального значения Севастополь проводят отбор кредитных организаций для размещения временно свободных денежных средств на основании требований пункта 10.2 настоящих Требований.">
        <w:r>
          <w:rPr>
            <w:sz w:val="24"/>
            <w:color w:val="0000ff"/>
          </w:rPr>
          <w:t xml:space="preserve">10.3</w:t>
        </w:r>
      </w:hyperlink>
      <w:r>
        <w:rPr>
          <w:sz w:val="24"/>
        </w:rPr>
        <w:t xml:space="preserve"> настоящих Требований, не более 10% от общего размера денежных средств.</w:t>
      </w:r>
    </w:p>
    <w:p>
      <w:pPr>
        <w:pStyle w:val="0"/>
        <w:jc w:val="both"/>
      </w:pPr>
      <w:r>
        <w:rPr>
          <w:sz w:val="24"/>
        </w:rPr>
        <w:t xml:space="preserve">(п. 10.6.1 введен </w:t>
      </w:r>
      <w:hyperlink w:history="0" r:id="rId184"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Приказом</w:t>
        </w:r>
      </w:hyperlink>
      <w:r>
        <w:rPr>
          <w:sz w:val="24"/>
        </w:rPr>
        <w:t xml:space="preserve"> Минэкономразвития России от 07.09.2020 N 573)</w:t>
      </w:r>
    </w:p>
    <w:p>
      <w:pPr>
        <w:pStyle w:val="0"/>
        <w:spacing w:before="240" w:lineRule="auto"/>
        <w:ind w:firstLine="540"/>
        <w:jc w:val="both"/>
      </w:pPr>
      <w:r>
        <w:rPr>
          <w:sz w:val="24"/>
        </w:rPr>
        <w:t xml:space="preserve">10.7. Пересчет максимального размера денежных средств, размещенных на расчетных счетах и депозитах в одной кредитной организации, осуществляется высшим или иным уполномоченным органом управления РГО при изменении размера гарантийного капитала.</w:t>
      </w:r>
    </w:p>
    <w:p>
      <w:pPr>
        <w:pStyle w:val="0"/>
        <w:spacing w:before="240" w:lineRule="auto"/>
        <w:ind w:firstLine="540"/>
        <w:jc w:val="both"/>
      </w:pPr>
      <w:r>
        <w:rPr>
          <w:sz w:val="24"/>
        </w:rPr>
        <w:t xml:space="preserve">10.8. РГО вправе инвестировать временно свободные денежные средства в государственные ценные бумаги Российской Федерации в размере не более 30% от общего размера денежных средств.</w:t>
      </w:r>
    </w:p>
    <w:p>
      <w:pPr>
        <w:pStyle w:val="0"/>
        <w:jc w:val="both"/>
      </w:pPr>
      <w:r>
        <w:rPr>
          <w:sz w:val="24"/>
        </w:rPr>
        <w:t xml:space="preserve">(в ред. </w:t>
      </w:r>
      <w:hyperlink w:history="0" r:id="rId185"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Приказа</w:t>
        </w:r>
      </w:hyperlink>
      <w:r>
        <w:rPr>
          <w:sz w:val="24"/>
        </w:rPr>
        <w:t xml:space="preserve"> Минэкономразвития России от 06.12.2017 N 651)</w:t>
      </w:r>
    </w:p>
    <w:p>
      <w:pPr>
        <w:pStyle w:val="0"/>
        <w:spacing w:before="240" w:lineRule="auto"/>
        <w:ind w:firstLine="540"/>
        <w:jc w:val="both"/>
      </w:pPr>
      <w:r>
        <w:rPr>
          <w:sz w:val="24"/>
        </w:rPr>
        <w:t xml:space="preserve">10.9. РГО вправе инвестировать и (или) размещать временно свободные денежные средства с использованием финансовых бирж.</w:t>
      </w:r>
    </w:p>
    <w:p>
      <w:pPr>
        <w:pStyle w:val="0"/>
        <w:spacing w:before="240" w:lineRule="auto"/>
        <w:ind w:firstLine="540"/>
        <w:jc w:val="both"/>
      </w:pPr>
      <w:r>
        <w:rPr>
          <w:sz w:val="24"/>
        </w:rPr>
        <w:t xml:space="preserve">10.10. В случае, предусмотренном </w:t>
      </w:r>
      <w:hyperlink w:history="0" w:anchor="P376" w:tooltip="10.3. РГО Республики Крым и (или) города федерального значения Севастополь проводят отбор кредитных организаций для размещения временно свободных денежных средств на основании требований пункта 10.2 настоящих Требований.">
        <w:r>
          <w:rPr>
            <w:sz w:val="24"/>
            <w:color w:val="0000ff"/>
          </w:rPr>
          <w:t xml:space="preserve">пунктом 10.3</w:t>
        </w:r>
      </w:hyperlink>
      <w:r>
        <w:rPr>
          <w:sz w:val="24"/>
        </w:rPr>
        <w:t xml:space="preserve"> настоящих Требований, РГО ежеквартально осуществляет мониторинг деятельности кредитных организаций, в которых размещены временно свободные денежные средства, на соответствие критериям, установленным </w:t>
      </w:r>
      <w:hyperlink w:history="0" w:anchor="P365" w:tooltip="1) наличие у кредитной организации универсальной или базовой лицензии Центрального Банка Российской Федерации на осуществление банковских операций;">
        <w:r>
          <w:rPr>
            <w:sz w:val="24"/>
            <w:color w:val="0000ff"/>
          </w:rPr>
          <w:t xml:space="preserve">подпунктами 1</w:t>
        </w:r>
      </w:hyperlink>
      <w:r>
        <w:rPr>
          <w:sz w:val="24"/>
        </w:rPr>
        <w:t xml:space="preserve">, </w:t>
      </w:r>
      <w:hyperlink w:history="0" w:anchor="P371" w:tooltip="4) срок деятельности кредитной организации с даты ее регистрации составляет не менее 5 (пяти) лет;">
        <w:r>
          <w:rPr>
            <w:sz w:val="24"/>
            <w:color w:val="0000ff"/>
          </w:rPr>
          <w:t xml:space="preserve">4</w:t>
        </w:r>
      </w:hyperlink>
      <w:r>
        <w:rPr>
          <w:sz w:val="24"/>
        </w:rPr>
        <w:t xml:space="preserve"> - </w:t>
      </w:r>
      <w:hyperlink w:history="0" w:anchor="P374" w:tooltip="7) участие кредитной организации в системе обязательного страхования вкладов в банках Российской Федерации в соответствии с Федеральным законом от 23 декабря 2003 г. N 177-ФЗ &quot;О страховании вкладов в банках Российской Федерации&quot; (Собрание законодательства Российской Федерации, 2003, N 52, ст. 5029; 2004, N 34, ст. 3521; 2005, N 1, ст. 23; N 43, ст. 4351; 2006, N 31, ст. 3449; 2007, N 12, ст. 1350; 2008, N 42, ст. 4699; N 52, ст. 6225; 2009, N 48, ст. 5731; 2011, N 1, ст. 49; N 27, ст. 3873; N 29, ст. 426...">
        <w:r>
          <w:rPr>
            <w:sz w:val="24"/>
            <w:color w:val="0000ff"/>
          </w:rPr>
          <w:t xml:space="preserve">7 пункта 10.2</w:t>
        </w:r>
      </w:hyperlink>
      <w:r>
        <w:rPr>
          <w:sz w:val="24"/>
        </w:rPr>
        <w:t xml:space="preserve"> и </w:t>
      </w:r>
      <w:hyperlink w:history="0" w:anchor="P376" w:tooltip="10.3. РГО Республики Крым и (или) города федерального значения Севастополь проводят отбор кредитных организаций для размещения временно свободных денежных средств на основании требований пункта 10.2 настоящих Требований.">
        <w:r>
          <w:rPr>
            <w:sz w:val="24"/>
            <w:color w:val="0000ff"/>
          </w:rPr>
          <w:t xml:space="preserve">пункта 10.3</w:t>
        </w:r>
      </w:hyperlink>
      <w:r>
        <w:rPr>
          <w:sz w:val="24"/>
        </w:rPr>
        <w:t xml:space="preserve"> настоящих Требований, с целью прогнозирования их финансовой устойчивости.</w:t>
      </w:r>
    </w:p>
    <w:p>
      <w:pPr>
        <w:pStyle w:val="0"/>
        <w:spacing w:before="240" w:lineRule="auto"/>
        <w:ind w:firstLine="540"/>
        <w:jc w:val="both"/>
      </w:pPr>
      <w:r>
        <w:rPr>
          <w:sz w:val="24"/>
        </w:rPr>
        <w:t xml:space="preserve">10.11. РГО размещает денежные средства на исполнение обязательств на отдельном расчетном счете, номинированном в валюте Российской Федерации, в кредитной организации, соответствующей требованиям, установленным </w:t>
      </w:r>
      <w:hyperlink w:history="0" w:anchor="P364" w:tooltip="10.2. РГО в целях размещения временно свободных денежных средств на депозитах и расчетных счетах кредитных организаций проводит отбор кредитных организаций при условии одновременного соблюдения следующих требований:">
        <w:r>
          <w:rPr>
            <w:sz w:val="24"/>
            <w:color w:val="0000ff"/>
          </w:rPr>
          <w:t xml:space="preserve">пунктами 10.2</w:t>
        </w:r>
      </w:hyperlink>
      <w:r>
        <w:rPr>
          <w:sz w:val="24"/>
        </w:rPr>
        <w:t xml:space="preserve"> и </w:t>
      </w:r>
      <w:hyperlink w:history="0" w:anchor="P376" w:tooltip="10.3. РГО Республики Крым и (или) города федерального значения Севастополь проводят отбор кредитных организаций для размещения временно свободных денежных средств на основании требований пункта 10.2 настоящих Требований.">
        <w:r>
          <w:rPr>
            <w:sz w:val="24"/>
            <w:color w:val="0000ff"/>
          </w:rPr>
          <w:t xml:space="preserve">10.3</w:t>
        </w:r>
      </w:hyperlink>
      <w:r>
        <w:rPr>
          <w:sz w:val="24"/>
        </w:rPr>
        <w:t xml:space="preserve"> настоящих Требований, процентные доходы от размещения денежных средств на исполнение обязательств зачисляются на этот же расчетный счет в целях увеличения размера денежных средств на исполнение обязательств. При этом при размещении РГО денежных средств на исполнение обязательств положения </w:t>
      </w:r>
      <w:hyperlink w:history="0" w:anchor="P381" w:tooltip="10.6. Максимальный размер денежных средств, размещенных на расчетных счетах и депозитах в одной кредитной организации устанавливается высшим или иным уполномоченным органом управления РГО на 1 (первое) число текущего финансового года и, не должен превышать:">
        <w:r>
          <w:rPr>
            <w:sz w:val="24"/>
            <w:color w:val="0000ff"/>
          </w:rPr>
          <w:t xml:space="preserve">пунктов 10.6</w:t>
        </w:r>
      </w:hyperlink>
      <w:r>
        <w:rPr>
          <w:sz w:val="24"/>
        </w:rPr>
        <w:t xml:space="preserve"> и </w:t>
      </w:r>
      <w:hyperlink w:history="0" w:anchor="P387" w:tooltip="10.6.1. РГО вправе размещать на расчетных счетах кредитных организаций, соответствующих требованиям, установленным пунктами 10.2 и 10.3 настоящих Требований, не более 10% от общего размера денежных средств.">
        <w:r>
          <w:rPr>
            <w:sz w:val="24"/>
            <w:color w:val="0000ff"/>
          </w:rPr>
          <w:t xml:space="preserve">10.6.1</w:t>
        </w:r>
      </w:hyperlink>
      <w:r>
        <w:rPr>
          <w:sz w:val="24"/>
        </w:rPr>
        <w:t xml:space="preserve"> настоящих Требований не применяются.</w:t>
      </w:r>
    </w:p>
    <w:p>
      <w:pPr>
        <w:pStyle w:val="0"/>
        <w:jc w:val="both"/>
      </w:pPr>
      <w:r>
        <w:rPr>
          <w:sz w:val="24"/>
        </w:rPr>
        <w:t xml:space="preserve">(п. 10.11 введен </w:t>
      </w:r>
      <w:hyperlink w:history="0" r:id="rId186"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Приказом</w:t>
        </w:r>
      </w:hyperlink>
      <w:r>
        <w:rPr>
          <w:sz w:val="24"/>
        </w:rPr>
        <w:t xml:space="preserve"> Минэкономразвития России от 24.09.2021 N 564)</w:t>
      </w:r>
    </w:p>
    <w:p>
      <w:pPr>
        <w:pStyle w:val="0"/>
        <w:jc w:val="both"/>
      </w:pPr>
      <w:r>
        <w:rPr>
          <w:sz w:val="24"/>
        </w:rPr>
      </w:r>
    </w:p>
    <w:p>
      <w:pPr>
        <w:pStyle w:val="2"/>
        <w:outlineLvl w:val="1"/>
        <w:jc w:val="center"/>
      </w:pPr>
      <w:r>
        <w:rPr>
          <w:sz w:val="24"/>
        </w:rPr>
        <w:t xml:space="preserve">XI. Порядок формирования резервов РГО</w:t>
      </w:r>
    </w:p>
    <w:p>
      <w:pPr>
        <w:pStyle w:val="0"/>
        <w:jc w:val="both"/>
      </w:pPr>
      <w:r>
        <w:rPr>
          <w:sz w:val="24"/>
        </w:rPr>
      </w:r>
    </w:p>
    <w:p>
      <w:pPr>
        <w:pStyle w:val="0"/>
        <w:ind w:firstLine="540"/>
        <w:jc w:val="both"/>
      </w:pPr>
      <w:r>
        <w:rPr>
          <w:sz w:val="24"/>
        </w:rPr>
        <w:t xml:space="preserve">11.1. В целях формирования полной и достоверной информации о деятельности РГО и ее имущественном положении РГО создает резервы по долгам с не погашенной в срок дебиторской задолженностью или с дебиторской задолженностью, которая с высокой степенью вероятности не будет погашена в срок, по обязательствам субъектов МСП, физических лиц, применяющих специальный налоговый режим "Налог на профессиональный доход", и (или) организаций инфраструктуры поддержки, в обеспечение исполнения которых выдано поручительство и (или) независимая гарантия РГО (далее - сомнительные долги).</w:t>
      </w:r>
    </w:p>
    <w:p>
      <w:pPr>
        <w:pStyle w:val="0"/>
        <w:jc w:val="both"/>
      </w:pPr>
      <w:r>
        <w:rPr>
          <w:sz w:val="24"/>
        </w:rPr>
        <w:t xml:space="preserve">(в ред. </w:t>
      </w:r>
      <w:hyperlink w:history="0" r:id="rId187"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Резерв по сомнительным долгам создается для отражения фактов деятельности РГО, связанных с исполнением обязательств по предоставленным поручительствам и (или) независимым гарантиям, в случае признания дебиторской задолженности, возникшей в результате выплаты финансовой организации и (или) заказчику, сомнительной.</w:t>
      </w:r>
    </w:p>
    <w:p>
      <w:pPr>
        <w:pStyle w:val="0"/>
        <w:jc w:val="both"/>
      </w:pPr>
      <w:r>
        <w:rPr>
          <w:sz w:val="24"/>
        </w:rPr>
        <w:t xml:space="preserve">(в ред. </w:t>
      </w:r>
      <w:hyperlink w:history="0" r:id="rId188"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Приказа</w:t>
        </w:r>
      </w:hyperlink>
      <w:r>
        <w:rPr>
          <w:sz w:val="24"/>
        </w:rPr>
        <w:t xml:space="preserve"> Минэкономразвития России от 31.10.2022 N 591)</w:t>
      </w:r>
    </w:p>
    <w:p>
      <w:pPr>
        <w:pStyle w:val="0"/>
        <w:spacing w:before="240" w:lineRule="auto"/>
        <w:ind w:firstLine="540"/>
        <w:jc w:val="both"/>
      </w:pPr>
      <w:r>
        <w:rPr>
          <w:sz w:val="24"/>
        </w:rPr>
        <w:t xml:space="preserve">11.2. Резервы по сомнительным долгам формируются ежеквартально по состоянию на последнее число квартала с учетом следующего:</w:t>
      </w:r>
    </w:p>
    <w:p>
      <w:pPr>
        <w:pStyle w:val="0"/>
        <w:spacing w:before="240" w:lineRule="auto"/>
        <w:ind w:firstLine="540"/>
        <w:jc w:val="both"/>
      </w:pPr>
      <w:r>
        <w:rPr>
          <w:sz w:val="24"/>
        </w:rPr>
        <w:t xml:space="preserve">1) базой для расчета резерва по сомнительным долгам является сумма, уплаченная по поручительствам и (или) независимым гарантиям, но не взысканная с субъекта МСП, физического лица, применяющего специальный налоговый режим "Налог на профессиональный доход", и (или) организации инфраструктуры поддержки;</w:t>
      </w:r>
    </w:p>
    <w:p>
      <w:pPr>
        <w:pStyle w:val="0"/>
        <w:jc w:val="both"/>
      </w:pPr>
      <w:r>
        <w:rPr>
          <w:sz w:val="24"/>
        </w:rPr>
        <w:t xml:space="preserve">(в ред. </w:t>
      </w:r>
      <w:hyperlink w:history="0" r:id="rId189"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2) РГО вправе не создавать резервы по сомнительным долгам, в случае документального подтверждения выполнения субъектом МСП, физическим лицом, применяющим специальный налоговый режим "Налог на профессиональный доход", и (или) организацией инфраструктуры поддержки, обязательств, в обеспечение исполнения которых выдано поручительство и (или) независимая гарантия;</w:t>
      </w:r>
    </w:p>
    <w:p>
      <w:pPr>
        <w:pStyle w:val="0"/>
        <w:jc w:val="both"/>
      </w:pPr>
      <w:r>
        <w:rPr>
          <w:sz w:val="24"/>
        </w:rPr>
        <w:t xml:space="preserve">(в ред. </w:t>
      </w:r>
      <w:hyperlink w:history="0" r:id="rId190"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3) утратил силу. - </w:t>
      </w:r>
      <w:hyperlink w:history="0" r:id="rId191"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Приказ</w:t>
        </w:r>
      </w:hyperlink>
      <w:r>
        <w:rPr>
          <w:sz w:val="24"/>
        </w:rPr>
        <w:t xml:space="preserve"> Минэкономразвития России от 24.09.2021 N 564.</w:t>
      </w:r>
    </w:p>
    <w:p>
      <w:pPr>
        <w:pStyle w:val="0"/>
        <w:spacing w:before="240" w:lineRule="auto"/>
        <w:ind w:firstLine="540"/>
        <w:jc w:val="both"/>
      </w:pPr>
      <w:r>
        <w:rPr>
          <w:sz w:val="24"/>
        </w:rPr>
        <w:t xml:space="preserve">11.3. Утратил силу. - </w:t>
      </w:r>
      <w:hyperlink w:history="0" r:id="rId192"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Приказ</w:t>
        </w:r>
      </w:hyperlink>
      <w:r>
        <w:rPr>
          <w:sz w:val="24"/>
        </w:rPr>
        <w:t xml:space="preserve"> Минэкономразвития России от 24.09.2021 N 564.</w:t>
      </w:r>
    </w:p>
    <w:p>
      <w:pPr>
        <w:pStyle w:val="0"/>
        <w:spacing w:before="240" w:lineRule="auto"/>
        <w:ind w:firstLine="540"/>
        <w:jc w:val="both"/>
      </w:pPr>
      <w:r>
        <w:rPr>
          <w:sz w:val="24"/>
        </w:rPr>
        <w:t xml:space="preserve">11.4. Порядок формирования резерва по сомнительным долгам РГО должна разработать самостоятельно и закрепить в учетной политике для целей бухгалтерского учета.</w:t>
      </w:r>
    </w:p>
    <w:p>
      <w:pPr>
        <w:pStyle w:val="0"/>
        <w:spacing w:before="240" w:lineRule="auto"/>
        <w:ind w:firstLine="540"/>
        <w:jc w:val="both"/>
      </w:pPr>
      <w:r>
        <w:rPr>
          <w:sz w:val="24"/>
        </w:rPr>
        <w:t xml:space="preserve">11.5. Формирование резервов осуществляется РГО в размере не менее 100% от суммы, уплаченной по договору о предоставлении поручительства и (или) независимой гарантии, на последнее число каждого календарного года.</w:t>
      </w:r>
    </w:p>
    <w:p>
      <w:pPr>
        <w:pStyle w:val="0"/>
        <w:jc w:val="both"/>
      </w:pPr>
      <w:r>
        <w:rPr>
          <w:sz w:val="24"/>
        </w:rPr>
        <w:t xml:space="preserve">(п. 11.5 в ред. </w:t>
      </w:r>
      <w:hyperlink w:history="0" r:id="rId193"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Приказа</w:t>
        </w:r>
      </w:hyperlink>
      <w:r>
        <w:rPr>
          <w:sz w:val="24"/>
        </w:rPr>
        <w:t xml:space="preserve"> Минэкономразвития России от 24.09.2021 N 564)</w:t>
      </w:r>
    </w:p>
    <w:p>
      <w:pPr>
        <w:pStyle w:val="0"/>
        <w:spacing w:before="240" w:lineRule="auto"/>
        <w:ind w:firstLine="540"/>
        <w:jc w:val="both"/>
      </w:pPr>
      <w:r>
        <w:rPr>
          <w:sz w:val="24"/>
        </w:rPr>
        <w:t xml:space="preserve">11.6. Сформированные резервы по сомнительным долгам используются РГО при списании с баланса задолженности по договорам поручительства и (или) предоставления гарантий, по которой РГО предприняты необходимые и достаточные юридические и фактические действия по ее взысканию и реализации прав, вытекающих из наличия обеспечения задолженности, при наличии документов и (или) актов уполномоченных государственных органов, необходимых и достаточных для принятия решения о списании такой задолженности, в том числе судебных актов, актов судебных приставов-исполнителей, актов органов государственной регистрации, а также иных актов, доказывающих невозможность ее взыскания (далее - безнадежная задолженность).</w:t>
      </w:r>
    </w:p>
    <w:p>
      <w:pPr>
        <w:pStyle w:val="0"/>
        <w:spacing w:before="240" w:lineRule="auto"/>
        <w:ind w:firstLine="540"/>
        <w:jc w:val="both"/>
      </w:pPr>
      <w:r>
        <w:rPr>
          <w:sz w:val="24"/>
        </w:rPr>
        <w:t xml:space="preserve">11.7. Списание РГО безнадежной задолженности за счет сформированного резерва по сомнительным долгам осуществляется на последнее число каждого календарного года по решению высшего или иного уполномоченного органа управления РГО.</w:t>
      </w:r>
    </w:p>
    <w:p>
      <w:pPr>
        <w:pStyle w:val="0"/>
        <w:jc w:val="both"/>
      </w:pPr>
      <w:r>
        <w:rPr>
          <w:sz w:val="24"/>
        </w:rPr>
        <w:t xml:space="preserve">(в ред. </w:t>
      </w:r>
      <w:hyperlink w:history="0" r:id="rId194"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Приказа</w:t>
        </w:r>
      </w:hyperlink>
      <w:r>
        <w:rPr>
          <w:sz w:val="24"/>
        </w:rPr>
        <w:t xml:space="preserve"> Минэкономразвития России от 06.12.2017 N 651)</w:t>
      </w:r>
    </w:p>
    <w:p>
      <w:pPr>
        <w:pStyle w:val="0"/>
        <w:jc w:val="both"/>
      </w:pPr>
      <w:r>
        <w:rPr>
          <w:sz w:val="24"/>
        </w:rPr>
      </w:r>
    </w:p>
    <w:p>
      <w:pPr>
        <w:pStyle w:val="2"/>
        <w:outlineLvl w:val="1"/>
        <w:jc w:val="center"/>
      </w:pPr>
      <w:r>
        <w:rPr>
          <w:sz w:val="24"/>
        </w:rPr>
        <w:t xml:space="preserve">XII. Порядок работы РГО с проблемной</w:t>
      </w:r>
    </w:p>
    <w:p>
      <w:pPr>
        <w:pStyle w:val="2"/>
        <w:jc w:val="center"/>
      </w:pPr>
      <w:r>
        <w:rPr>
          <w:sz w:val="24"/>
        </w:rPr>
        <w:t xml:space="preserve">задолженностью, возникшей в результате заключения договоров</w:t>
      </w:r>
    </w:p>
    <w:p>
      <w:pPr>
        <w:pStyle w:val="2"/>
        <w:jc w:val="center"/>
      </w:pPr>
      <w:r>
        <w:rPr>
          <w:sz w:val="24"/>
        </w:rPr>
        <w:t xml:space="preserve">поручительства и (или) независимой гарантии</w:t>
      </w:r>
    </w:p>
    <w:p>
      <w:pPr>
        <w:pStyle w:val="0"/>
        <w:jc w:val="both"/>
      </w:pPr>
      <w:r>
        <w:rPr>
          <w:sz w:val="24"/>
        </w:rPr>
      </w:r>
    </w:p>
    <w:p>
      <w:pPr>
        <w:pStyle w:val="0"/>
        <w:ind w:firstLine="540"/>
        <w:jc w:val="both"/>
      </w:pPr>
      <w:r>
        <w:rPr>
          <w:sz w:val="24"/>
        </w:rPr>
        <w:t xml:space="preserve">12.1. Порядок работы с проблемной задолженностью, возникающей в результате просроченных платежей по обязательствам субъектов МСП, физических лиц, применяющих специальный налоговый режим "Налог на профессиональный доход", и (или) организаций инфраструктуры поддержки, основанным на договорах, обеспеченных поручительством и (или) независимой гарантией РГО, утверждается высшим или иным уполномоченным органом РГО.</w:t>
      </w:r>
    </w:p>
    <w:p>
      <w:pPr>
        <w:pStyle w:val="0"/>
        <w:jc w:val="both"/>
      </w:pPr>
      <w:r>
        <w:rPr>
          <w:sz w:val="24"/>
        </w:rPr>
        <w:t xml:space="preserve">(в ред. </w:t>
      </w:r>
      <w:hyperlink w:history="0" r:id="rId195"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12.2. Работа с проблемной задолженностью осуществляется путем взаимодействия РГО с финансовыми организациями, субъектами МСП, физическими лицами, применяющими специальный налоговый режим "Налог на профессиональный доход", и (или) организациями инфраструктуры поддержки и иными заинтересованными лицами в целях контроля (предупреждения) ожидаемых потерь РГО и включает в себя меры досудебного и судебного урегулирования задолженности субъектов МСП, физических лиц, применяющих специальный налоговый режим "Налог на профессиональный доход", и (или) организации инфраструктуры поддержки, предусмотренные законодательством Российской Федерации.</w:t>
      </w:r>
    </w:p>
    <w:p>
      <w:pPr>
        <w:pStyle w:val="0"/>
        <w:jc w:val="both"/>
      </w:pPr>
      <w:r>
        <w:rPr>
          <w:sz w:val="24"/>
        </w:rPr>
        <w:t xml:space="preserve">(в ред. </w:t>
      </w:r>
      <w:hyperlink w:history="0" r:id="rId196"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12.3. Решения РГО, связанные с применением инструментов управления проблемными активами, принимаются в порядке, установленном внутренними документами РГО.</w:t>
      </w:r>
    </w:p>
    <w:p>
      <w:pPr>
        <w:pStyle w:val="0"/>
        <w:jc w:val="both"/>
      </w:pPr>
      <w:r>
        <w:rPr>
          <w:sz w:val="24"/>
        </w:rPr>
      </w:r>
    </w:p>
    <w:p>
      <w:pPr>
        <w:pStyle w:val="2"/>
        <w:outlineLvl w:val="1"/>
        <w:jc w:val="center"/>
      </w:pPr>
      <w:r>
        <w:rPr>
          <w:sz w:val="24"/>
        </w:rPr>
        <w:t xml:space="preserve">XIII. Порядок выполнения РГО обязательств по выданному</w:t>
      </w:r>
    </w:p>
    <w:p>
      <w:pPr>
        <w:pStyle w:val="2"/>
        <w:jc w:val="center"/>
      </w:pPr>
      <w:r>
        <w:rPr>
          <w:sz w:val="24"/>
        </w:rPr>
        <w:t xml:space="preserve">поручительству и (или) независимой гарантии</w:t>
      </w:r>
    </w:p>
    <w:p>
      <w:pPr>
        <w:pStyle w:val="0"/>
        <w:jc w:val="both"/>
      </w:pPr>
      <w:r>
        <w:rPr>
          <w:sz w:val="24"/>
        </w:rPr>
      </w:r>
    </w:p>
    <w:p>
      <w:pPr>
        <w:pStyle w:val="0"/>
        <w:ind w:firstLine="540"/>
        <w:jc w:val="both"/>
      </w:pPr>
      <w:r>
        <w:rPr>
          <w:sz w:val="24"/>
        </w:rPr>
        <w:t xml:space="preserve">13.1. РГО принимает требование финансовой организаций об исполнении обязательств по договорам о предоставлении поручительств и (или) независимых гарантий (далее - требование финансовой организации) по истечении 30 (тридцати) календарных дней с даты неисполнения субъектом МСП, физическим лицом, применяющим специальный налоговый режим "Налог на профессиональный доход", и (или) организацией инфраструктуры поддержки своих обязательств по договору о предоставлении банковской гарантии или 90 (девяноста) календарных дней с даты неисполнения субъектом МСП, физическим лицом, применяющим специальный налоговый режим "Налог на профессиональный доход", и (или) организацией инфраструктуры поддержки своих обязательств по кредитным договорам, договорам займа, договорам финансовой аренды (лизинга) и иным договорам и непогашения перед финансовой организацией суммы задолженности по договору, в случае принятия финансовой организацией всех мер по истребованию невозвращенной суммы обязательств субъекта МСП, физического лица, применяющего специальный налоговый режим "Налог на профессиональный доход", и (или) организации инфраструктуры поддержки, которые финансовая организация должна была предпринять в соответствии с договором поручительства и (или) независимой гарантии.</w:t>
      </w:r>
    </w:p>
    <w:p>
      <w:pPr>
        <w:pStyle w:val="0"/>
        <w:jc w:val="both"/>
      </w:pPr>
      <w:r>
        <w:rPr>
          <w:sz w:val="24"/>
        </w:rPr>
        <w:t xml:space="preserve">(в ред. Приказов Минэкономразвития России от 06.12.2017 </w:t>
      </w:r>
      <w:hyperlink w:history="0" r:id="rId197"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rPr>
        <w:t xml:space="preserve">, от 07.09.2020 </w:t>
      </w:r>
      <w:hyperlink w:history="0" r:id="rId198"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w:t>
      </w:r>
    </w:p>
    <w:p>
      <w:pPr>
        <w:pStyle w:val="0"/>
        <w:spacing w:before="240" w:lineRule="auto"/>
        <w:ind w:firstLine="540"/>
        <w:jc w:val="both"/>
      </w:pPr>
      <w:r>
        <w:rPr>
          <w:sz w:val="24"/>
        </w:rPr>
        <w:t xml:space="preserve">Абзац утратил силу. - </w:t>
      </w:r>
      <w:hyperlink w:history="0" r:id="rId199"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Приказ</w:t>
        </w:r>
      </w:hyperlink>
      <w:r>
        <w:rPr>
          <w:sz w:val="24"/>
        </w:rPr>
        <w:t xml:space="preserve"> Минэкономразвития России от 31.10.2022 N 591.</w:t>
      </w:r>
    </w:p>
    <w:bookmarkStart w:id="433" w:name="P433"/>
    <w:bookmarkEnd w:id="433"/>
    <w:p>
      <w:pPr>
        <w:pStyle w:val="0"/>
        <w:spacing w:before="240" w:lineRule="auto"/>
        <w:ind w:firstLine="540"/>
        <w:jc w:val="both"/>
      </w:pPr>
      <w:r>
        <w:rPr>
          <w:sz w:val="24"/>
        </w:rPr>
        <w:t xml:space="preserve">13.2. РГО принимает требование финансовой организации при наличии следующих документов и информации:</w:t>
      </w:r>
    </w:p>
    <w:p>
      <w:pPr>
        <w:pStyle w:val="0"/>
        <w:jc w:val="both"/>
      </w:pPr>
      <w:r>
        <w:rPr>
          <w:sz w:val="24"/>
        </w:rPr>
        <w:t xml:space="preserve">(в ред. </w:t>
      </w:r>
      <w:hyperlink w:history="0" r:id="rId200"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Приказа</w:t>
        </w:r>
      </w:hyperlink>
      <w:r>
        <w:rPr>
          <w:sz w:val="24"/>
        </w:rPr>
        <w:t xml:space="preserve"> Минэкономразвития России от 06.12.2017 N 651)</w:t>
      </w:r>
    </w:p>
    <w:p>
      <w:pPr>
        <w:pStyle w:val="0"/>
        <w:spacing w:before="240" w:lineRule="auto"/>
        <w:ind w:firstLine="540"/>
        <w:jc w:val="both"/>
      </w:pPr>
      <w:r>
        <w:rPr>
          <w:sz w:val="24"/>
        </w:rPr>
        <w:t xml:space="preserve">1) подтверждающих право финансовой организации на получение суммы задолженности по договору:</w:t>
      </w:r>
    </w:p>
    <w:p>
      <w:pPr>
        <w:pStyle w:val="0"/>
        <w:spacing w:before="240" w:lineRule="auto"/>
        <w:ind w:firstLine="540"/>
        <w:jc w:val="both"/>
      </w:pPr>
      <w:r>
        <w:rPr>
          <w:sz w:val="24"/>
        </w:rPr>
        <w:t xml:space="preserve">а) копии договора поручительства и (или) договора независимой гарантии и обеспечительных договоров (со всеми изменениями и дополнениями);</w:t>
      </w:r>
    </w:p>
    <w:p>
      <w:pPr>
        <w:pStyle w:val="0"/>
        <w:spacing w:before="240" w:lineRule="auto"/>
        <w:ind w:firstLine="540"/>
        <w:jc w:val="both"/>
      </w:pPr>
      <w:r>
        <w:rPr>
          <w:sz w:val="24"/>
        </w:rPr>
        <w:t xml:space="preserve">б) копии документа подтверждающего правомочия лица на подписание требования;</w:t>
      </w:r>
    </w:p>
    <w:p>
      <w:pPr>
        <w:pStyle w:val="0"/>
        <w:spacing w:before="240" w:lineRule="auto"/>
        <w:ind w:firstLine="540"/>
        <w:jc w:val="both"/>
      </w:pPr>
      <w:r>
        <w:rPr>
          <w:sz w:val="24"/>
        </w:rPr>
        <w:t xml:space="preserve">в) расчета текущей суммы обязательства, подтверждающий не превышение размера предъявляемых требований финансовой организации к задолженности субъекта МСП, физического лица, применяющего специальный налоговый режим "Налог на профессиональный доход", и (или) организации инфраструктуры поддержки;</w:t>
      </w:r>
    </w:p>
    <w:p>
      <w:pPr>
        <w:pStyle w:val="0"/>
        <w:jc w:val="both"/>
      </w:pPr>
      <w:r>
        <w:rPr>
          <w:sz w:val="24"/>
        </w:rPr>
        <w:t xml:space="preserve">(в ред. </w:t>
      </w:r>
      <w:hyperlink w:history="0" r:id="rId201"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г) расчета суммы, истребуемой к оплате, составленный на дату предъявления требования к РГО, в виде отдельного документа;</w:t>
      </w:r>
    </w:p>
    <w:p>
      <w:pPr>
        <w:pStyle w:val="0"/>
        <w:spacing w:before="240" w:lineRule="auto"/>
        <w:ind w:firstLine="540"/>
        <w:jc w:val="both"/>
      </w:pPr>
      <w:r>
        <w:rPr>
          <w:sz w:val="24"/>
        </w:rPr>
        <w:t xml:space="preserve">д) информации о реквизитах банковского счета финансовой организации для перечисления денежных средств РГО;</w:t>
      </w:r>
    </w:p>
    <w:p>
      <w:pPr>
        <w:pStyle w:val="0"/>
        <w:spacing w:before="240" w:lineRule="auto"/>
        <w:ind w:firstLine="540"/>
        <w:jc w:val="both"/>
      </w:pPr>
      <w:r>
        <w:rPr>
          <w:sz w:val="24"/>
        </w:rPr>
        <w:t xml:space="preserve">2) справка о целевом использовании кредита (займа) (рекомендуемый образец приведен в </w:t>
      </w:r>
      <w:hyperlink w:history="0" w:anchor="P641" w:tooltip="Справка о целевом использовании кредита (займа)">
        <w:r>
          <w:rPr>
            <w:sz w:val="24"/>
            <w:color w:val="0000ff"/>
          </w:rPr>
          <w:t xml:space="preserve">приложении N 3</w:t>
        </w:r>
      </w:hyperlink>
      <w:r>
        <w:rPr>
          <w:sz w:val="24"/>
        </w:rPr>
        <w:t xml:space="preserve"> к настоящим Требованиям);</w:t>
      </w:r>
    </w:p>
    <w:p>
      <w:pPr>
        <w:pStyle w:val="0"/>
        <w:jc w:val="both"/>
      </w:pPr>
      <w:r>
        <w:rPr>
          <w:sz w:val="24"/>
        </w:rPr>
        <w:t xml:space="preserve">(пп. 2 в ред. </w:t>
      </w:r>
      <w:hyperlink w:history="0" r:id="rId202"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Приказа</w:t>
        </w:r>
      </w:hyperlink>
      <w:r>
        <w:rPr>
          <w:sz w:val="24"/>
        </w:rPr>
        <w:t xml:space="preserve"> Минэкономразвития России от 06.12.2017 N 651)</w:t>
      </w:r>
    </w:p>
    <w:p>
      <w:pPr>
        <w:pStyle w:val="0"/>
        <w:spacing w:before="240" w:lineRule="auto"/>
        <w:ind w:firstLine="540"/>
        <w:jc w:val="both"/>
      </w:pPr>
      <w:r>
        <w:rPr>
          <w:sz w:val="24"/>
        </w:rPr>
        <w:t xml:space="preserve">3) подтверждающих выполнение финансовой организацией мер, направленных на получение невозвращенной суммы обязательств, включая:</w:t>
      </w:r>
    </w:p>
    <w:p>
      <w:pPr>
        <w:pStyle w:val="0"/>
        <w:spacing w:before="240" w:lineRule="auto"/>
        <w:ind w:firstLine="540"/>
        <w:jc w:val="both"/>
      </w:pPr>
      <w:r>
        <w:rPr>
          <w:sz w:val="24"/>
        </w:rPr>
        <w:t xml:space="preserve">а) информацию в произвольной форме (в виде отдельного документа) подтверждающую:</w:t>
      </w:r>
    </w:p>
    <w:p>
      <w:pPr>
        <w:pStyle w:val="0"/>
        <w:spacing w:before="240" w:lineRule="auto"/>
        <w:ind w:firstLine="540"/>
        <w:jc w:val="both"/>
      </w:pPr>
      <w:r>
        <w:rPr>
          <w:sz w:val="24"/>
        </w:rPr>
        <w:t xml:space="preserve">- предъявление требования субъекту МСП, физическому лицу, применяющему специальный налоговый режим "Налог на профессиональный доход", и (или) организации инфраструктуры поддержки об исполнении нарушенных обязательств;</w:t>
      </w:r>
    </w:p>
    <w:p>
      <w:pPr>
        <w:pStyle w:val="0"/>
        <w:jc w:val="both"/>
      </w:pPr>
      <w:r>
        <w:rPr>
          <w:sz w:val="24"/>
        </w:rPr>
        <w:t xml:space="preserve">(в ред. </w:t>
      </w:r>
      <w:hyperlink w:history="0" r:id="rId203"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 списание денежных средств на условиях заранее данного акцепта со счетов субъекта МСП, физического лица, применяющего специальный налоговый режим "Налог на профессиональный доход", и (или) организации инфраструктуры поддержки и его поручителей (за исключением РГО), открытых в финансовой организации, а также со счетов, открытых в иных финансовых организациях (при наличии);</w:t>
      </w:r>
    </w:p>
    <w:p>
      <w:pPr>
        <w:pStyle w:val="0"/>
        <w:jc w:val="both"/>
      </w:pPr>
      <w:r>
        <w:rPr>
          <w:sz w:val="24"/>
        </w:rPr>
        <w:t xml:space="preserve">(в ред. Приказов Минэкономразвития России от 06.12.2017 </w:t>
      </w:r>
      <w:hyperlink w:history="0" r:id="rId204"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rPr>
        <w:t xml:space="preserve">, от 07.09.2020 </w:t>
      </w:r>
      <w:hyperlink w:history="0" r:id="rId205"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w:t>
      </w:r>
    </w:p>
    <w:p>
      <w:pPr>
        <w:pStyle w:val="0"/>
        <w:spacing w:before="240" w:lineRule="auto"/>
        <w:ind w:firstLine="540"/>
        <w:jc w:val="both"/>
      </w:pPr>
      <w:r>
        <w:rPr>
          <w:sz w:val="24"/>
        </w:rPr>
        <w:t xml:space="preserve">- досудебное обращение взыскания на предмет залога;</w:t>
      </w:r>
    </w:p>
    <w:p>
      <w:pPr>
        <w:pStyle w:val="0"/>
        <w:spacing w:before="240" w:lineRule="auto"/>
        <w:ind w:firstLine="540"/>
        <w:jc w:val="both"/>
      </w:pPr>
      <w:r>
        <w:rPr>
          <w:sz w:val="24"/>
        </w:rPr>
        <w:t xml:space="preserve">- удовлетворение требований путем зачета против требования субъекта МСП, физического лица, применяющего специальный налоговый режим "Налог на профессиональный доход", и (или) организации инфраструктуры поддержки, если требование финансовой организации может быть удовлетворено путем зачета;</w:t>
      </w:r>
    </w:p>
    <w:p>
      <w:pPr>
        <w:pStyle w:val="0"/>
        <w:jc w:val="both"/>
      </w:pPr>
      <w:r>
        <w:rPr>
          <w:sz w:val="24"/>
        </w:rPr>
        <w:t xml:space="preserve">(в ред. </w:t>
      </w:r>
      <w:hyperlink w:history="0" r:id="rId206"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 предъявление требований по поручительству и (или) независимой гарантии третьих лиц (за исключением РГО);</w:t>
      </w:r>
    </w:p>
    <w:p>
      <w:pPr>
        <w:pStyle w:val="0"/>
        <w:spacing w:before="240" w:lineRule="auto"/>
        <w:ind w:firstLine="540"/>
        <w:jc w:val="both"/>
      </w:pPr>
      <w:r>
        <w:rPr>
          <w:sz w:val="24"/>
        </w:rPr>
        <w:t xml:space="preserve">- предъявление иска в суд о принудительном взыскании суммы задолженности с субъекта МСП, физического лица, применяющего специальный налоговый режим "Налог на профессиональный доход", и (или) организации инфраструктуры поддержки, поручителей (за исключением РГО), об обращении взыскания на предмет залога, предъявление требований по независимой гарантии;</w:t>
      </w:r>
    </w:p>
    <w:p>
      <w:pPr>
        <w:pStyle w:val="0"/>
        <w:jc w:val="both"/>
      </w:pPr>
      <w:r>
        <w:rPr>
          <w:sz w:val="24"/>
        </w:rPr>
        <w:t xml:space="preserve">(в ред. Приказов Минэкономразвития России от 06.12.2017 </w:t>
      </w:r>
      <w:hyperlink w:history="0" r:id="rId207"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rPr>
        <w:t xml:space="preserve">, от 07.09.2020 </w:t>
      </w:r>
      <w:hyperlink w:history="0" r:id="rId208"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w:t>
      </w:r>
    </w:p>
    <w:p>
      <w:pPr>
        <w:pStyle w:val="0"/>
        <w:spacing w:before="240" w:lineRule="auto"/>
        <w:ind w:firstLine="540"/>
        <w:jc w:val="both"/>
      </w:pPr>
      <w:r>
        <w:rPr>
          <w:sz w:val="24"/>
        </w:rPr>
        <w:t xml:space="preserve">- выполнение иных мер и достигнутые результаты;</w:t>
      </w:r>
    </w:p>
    <w:p>
      <w:pPr>
        <w:pStyle w:val="0"/>
        <w:spacing w:before="240" w:lineRule="auto"/>
        <w:ind w:firstLine="540"/>
        <w:jc w:val="both"/>
      </w:pPr>
      <w:r>
        <w:rPr>
          <w:sz w:val="24"/>
        </w:rPr>
        <w:t xml:space="preserve">б) выписку по счетам по учету обеспечения исполнения обязательств субъекта МСП, физического лица, применяющего специальный налоговый режим "Налог на профессиональный доход", и (или) организации инфраструктуры поддержки;</w:t>
      </w:r>
    </w:p>
    <w:p>
      <w:pPr>
        <w:pStyle w:val="0"/>
        <w:jc w:val="both"/>
      </w:pPr>
      <w:r>
        <w:rPr>
          <w:sz w:val="24"/>
        </w:rPr>
        <w:t xml:space="preserve">(в ред. </w:t>
      </w:r>
      <w:hyperlink w:history="0" r:id="rId209"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в) копию требования финансовой организации к субъекту МСП, физическому лицу, применяющему специальный налоговый режим "Налог на профессиональный доход", и (или) организации инфраструктуры поддержки, об исполнении нарушенных обязательств (с подтверждением ее направления субъекту МСП, физическому лицу, применяющему специальный налоговый режим "Налог на профессиональный доход", и (или) организации инфраструктуры поддержки), а также, при наличии, копию ответа субъекта МСП, физического лица, применяющего специальный налоговый режим "Налог на профессиональный доход", и (или) организации инфраструктуры поддержки, на указанное требование финансовой организации;</w:t>
      </w:r>
    </w:p>
    <w:p>
      <w:pPr>
        <w:pStyle w:val="0"/>
        <w:jc w:val="both"/>
      </w:pPr>
      <w:r>
        <w:rPr>
          <w:sz w:val="24"/>
        </w:rPr>
        <w:t xml:space="preserve">(пп. "в" в ред. </w:t>
      </w:r>
      <w:hyperlink w:history="0" r:id="rId210"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г) копии документов, подтверждающих предпринятые финансовой организацией меры по взысканию просроченной задолженности субъекта МСП, физического лица, применяющего специальный налоговый режим "Налог на профессиональный доход", и (или) организации инфраструктуры поддержки, по основному договору путем предъявления требования о списании денежных средств с банковского счета субъекта МСП, физического лица, применяющего специальный налоговый режим "Налог на профессиональный доход", и (или) организации инфраструктуры поддержки, на основании заранее данного акцепта, а именно копии платежного требования/инкассового поручения (с извещением о помещении в картотеку, в случае неисполнения этих документов) и (или) банковского ордера (с выпиской из счета картотеки, в случае его неисполнения);</w:t>
      </w:r>
    </w:p>
    <w:p>
      <w:pPr>
        <w:pStyle w:val="0"/>
        <w:jc w:val="both"/>
      </w:pPr>
      <w:r>
        <w:rPr>
          <w:sz w:val="24"/>
        </w:rPr>
        <w:t xml:space="preserve">(в ред. </w:t>
      </w:r>
      <w:hyperlink w:history="0" r:id="rId211"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д) копии документов, подтверждающих предпринятые финансовой организацией меры по обращению взыскания на предмет залога (если в качестве обеспечения исполнения обязательств субъекта МСП, физического лица, применяющего специальный налоговый режим "Налог на профессиональный доход", и (или) организации инфраструктуры поддержки, был оформлен залог), а именно копии предусмотренного законодательством Российской Федерации о залоге уведомления о начале обращения взыскания на предмет залога с доказательством его направления залогодателю (в случае внесудебного порядка обращения взыскания на залог) и (или) соответствующего обращения в суд с требованием об обращении взыскания на заложенное имущество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судом (в случае судебного порядка обращения взыскания на залог), в случае подачи документов в суд в электронном виде через 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 а также при наличии - сведения о размере требований финансовой организации, удовлетворенных за счет реализации заложенного имущества;</w:t>
      </w:r>
    </w:p>
    <w:p>
      <w:pPr>
        <w:pStyle w:val="0"/>
        <w:jc w:val="both"/>
      </w:pPr>
      <w:r>
        <w:rPr>
          <w:sz w:val="24"/>
        </w:rPr>
        <w:t xml:space="preserve">(в ред. Приказов Минэкономразвития России от 06.12.2017 </w:t>
      </w:r>
      <w:hyperlink w:history="0" r:id="rId212"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rPr>
        <w:t xml:space="preserve">, от 07.09.2020 </w:t>
      </w:r>
      <w:hyperlink w:history="0" r:id="rId213"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w:t>
      </w:r>
    </w:p>
    <w:p>
      <w:pPr>
        <w:pStyle w:val="0"/>
        <w:spacing w:before="240" w:lineRule="auto"/>
        <w:ind w:firstLine="540"/>
        <w:jc w:val="both"/>
      </w:pPr>
      <w:r>
        <w:rPr>
          <w:sz w:val="24"/>
        </w:rPr>
        <w:t xml:space="preserve">е) копии документов, подтверждающих предпринятые финансовой организацией меры по предъявлению требования по независимой гарантии и (или) поручительствам третьих лиц (если в качестве обеспечения исполнения обязательств субъекта МСП, физического лица, применяющего специальный налоговый режим "Налог на профессиональный доход", и (или) организации инфраструктуры поддержки, предоставлена независимая гарантия или выданы поручительства третьих лиц), за исключением РГО, а именно копии соответствующего требования (претензии) к гаранту (поручителям) с доказательством его направления гаранту (поручителям), а также при наличии - сведения о размере требовании финансовой организации, удовлетворенных за счет независимой гарантии (поручительств третьих лиц);</w:t>
      </w:r>
    </w:p>
    <w:p>
      <w:pPr>
        <w:pStyle w:val="0"/>
        <w:jc w:val="both"/>
      </w:pPr>
      <w:r>
        <w:rPr>
          <w:sz w:val="24"/>
        </w:rPr>
        <w:t xml:space="preserve">(в ред. </w:t>
      </w:r>
      <w:hyperlink w:history="0" r:id="rId214"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ж) копии исковых заявлений о взыскании задолженности с субъекта МСП, физического лица, применяющего специальный налоговый режим "Налог на профессиональный доход", и (или) организации инфраструктуры поддержки, поручителей (третьих лиц)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или, в случае подачи документов в суд в электронном виде через автоматизированную систему подачи документов - копией электронного подтверждения электронной системы о поступлении документов в суд.</w:t>
      </w:r>
    </w:p>
    <w:p>
      <w:pPr>
        <w:pStyle w:val="0"/>
        <w:jc w:val="both"/>
      </w:pPr>
      <w:r>
        <w:rPr>
          <w:sz w:val="24"/>
        </w:rPr>
        <w:t xml:space="preserve">(в ред. Приказов Минэкономразвития России от 06.12.2017 </w:t>
      </w:r>
      <w:hyperlink w:history="0" r:id="rId215"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rPr>
        <w:t xml:space="preserve">, от 07.09.2020 </w:t>
      </w:r>
      <w:hyperlink w:history="0" r:id="rId216"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w:t>
      </w:r>
    </w:p>
    <w:bookmarkStart w:id="469" w:name="P469"/>
    <w:bookmarkEnd w:id="469"/>
    <w:p>
      <w:pPr>
        <w:pStyle w:val="0"/>
        <w:spacing w:before="240" w:lineRule="auto"/>
        <w:ind w:firstLine="540"/>
        <w:jc w:val="both"/>
      </w:pPr>
      <w:r>
        <w:rPr>
          <w:sz w:val="24"/>
        </w:rPr>
        <w:t xml:space="preserve">13.2.1. Типовая форма независимой гарантии, используемой в целях обеспечения заявки, исполнения контракта (договора), гарантийных обязательств, а также форма требования об уплате денежной суммы по независимой гарантии заказчику (далее - требование заказчика) и перечень документов, представляемых заказчиком РГО одновременно с требованием заказчика, устанавливаются в соответствии с </w:t>
      </w:r>
      <w:hyperlink w:history="0" r:id="rId21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частью 8.2 статьи 45</w:t>
        </w:r>
      </w:hyperlink>
      <w:r>
        <w:rPr>
          <w:sz w:val="24"/>
        </w:rPr>
        <w:t xml:space="preserve"> Закона о контрактной системе (Собрание законодательства Российской Федерации, 2013, N 14, ст. 1652; 2022, N 16, ст. 2611) и </w:t>
      </w:r>
      <w:hyperlink w:history="0" r:id="rId21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частью 32 статьи 3.4</w:t>
        </w:r>
      </w:hyperlink>
      <w:r>
        <w:rPr>
          <w:sz w:val="24"/>
        </w:rPr>
        <w:t xml:space="preserve"> Закона о закупках (Собрание законодательства Российской Федерации, 2011, N 30, ст. 4571; 2022, N 16, ст. 2611).</w:t>
      </w:r>
    </w:p>
    <w:p>
      <w:pPr>
        <w:pStyle w:val="0"/>
        <w:jc w:val="both"/>
      </w:pPr>
      <w:r>
        <w:rPr>
          <w:sz w:val="24"/>
        </w:rPr>
        <w:t xml:space="preserve">(п. 13.2.1 в ред. </w:t>
      </w:r>
      <w:hyperlink w:history="0" r:id="rId219"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Приказа</w:t>
        </w:r>
      </w:hyperlink>
      <w:r>
        <w:rPr>
          <w:sz w:val="24"/>
        </w:rPr>
        <w:t xml:space="preserve"> Минэкономразвития России от 31.10.2022 N 591)</w:t>
      </w:r>
    </w:p>
    <w:p>
      <w:pPr>
        <w:pStyle w:val="0"/>
        <w:spacing w:before="240" w:lineRule="auto"/>
        <w:ind w:firstLine="540"/>
        <w:jc w:val="both"/>
      </w:pPr>
      <w:r>
        <w:rPr>
          <w:sz w:val="24"/>
        </w:rPr>
        <w:t xml:space="preserve">13.3. Документы, представляемые с требованием финансовой организации или требованием заказчика к РГО, должны быть подписаны уполномоченным лицом и скреплены печатью финансовой организации или заказчика (при наличии).</w:t>
      </w:r>
    </w:p>
    <w:p>
      <w:pPr>
        <w:pStyle w:val="0"/>
        <w:jc w:val="both"/>
      </w:pPr>
      <w:r>
        <w:rPr>
          <w:sz w:val="24"/>
        </w:rPr>
        <w:t xml:space="preserve">(п. 13.3 в ред. </w:t>
      </w:r>
      <w:hyperlink w:history="0" r:id="rId220"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Приказа</w:t>
        </w:r>
      </w:hyperlink>
      <w:r>
        <w:rPr>
          <w:sz w:val="24"/>
        </w:rPr>
        <w:t xml:space="preserve"> Минэкономразвития России от 06.12.2017 N 651)</w:t>
      </w:r>
    </w:p>
    <w:p>
      <w:pPr>
        <w:pStyle w:val="0"/>
        <w:spacing w:before="240" w:lineRule="auto"/>
        <w:ind w:firstLine="540"/>
        <w:jc w:val="both"/>
      </w:pPr>
      <w:r>
        <w:rPr>
          <w:sz w:val="24"/>
        </w:rPr>
        <w:t xml:space="preserve">13.4. РГО обязана в срок, не превышающий 15 (пятнадцати) рабочих дней с даты получения требования финансовой организации, а также документов и информации, указанных в </w:t>
      </w:r>
      <w:hyperlink w:history="0" w:anchor="P433" w:tooltip="13.2. РГО принимает требование финансовой организации при наличии следующих документов и информации:">
        <w:r>
          <w:rPr>
            <w:sz w:val="24"/>
            <w:color w:val="0000ff"/>
          </w:rPr>
          <w:t xml:space="preserve">пункте 13.2</w:t>
        </w:r>
      </w:hyperlink>
      <w:r>
        <w:rPr>
          <w:sz w:val="24"/>
        </w:rPr>
        <w:t xml:space="preserve"> настоящих Требований, рассмотреть их и уведомить финансовую организацию о принятом решении, при этом в случае наличия возражений РГО направляет в финансовую организацию письмо с указанием всех имеющихся возражений.</w:t>
      </w:r>
    </w:p>
    <w:p>
      <w:pPr>
        <w:pStyle w:val="0"/>
        <w:spacing w:before="240" w:lineRule="auto"/>
        <w:ind w:firstLine="540"/>
        <w:jc w:val="both"/>
      </w:pPr>
      <w:r>
        <w:rPr>
          <w:sz w:val="24"/>
        </w:rPr>
        <w:t xml:space="preserve">При отсутствии возражений РГО в срок не позднее 30 (тридцати) календарных дней с даты предъявления требования финансовой организации перечисляет денежные средства на счет финансовой организации.</w:t>
      </w:r>
    </w:p>
    <w:p>
      <w:pPr>
        <w:pStyle w:val="0"/>
        <w:jc w:val="both"/>
      </w:pPr>
      <w:r>
        <w:rPr>
          <w:sz w:val="24"/>
        </w:rPr>
        <w:t xml:space="preserve">(п. 13.4 в ред. </w:t>
      </w:r>
      <w:hyperlink w:history="0" r:id="rId221"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Приказа</w:t>
        </w:r>
      </w:hyperlink>
      <w:r>
        <w:rPr>
          <w:sz w:val="24"/>
        </w:rPr>
        <w:t xml:space="preserve"> Минэкономразвития России от 31.10.2022 N 591)</w:t>
      </w:r>
    </w:p>
    <w:p>
      <w:pPr>
        <w:pStyle w:val="0"/>
        <w:spacing w:before="240" w:lineRule="auto"/>
        <w:ind w:firstLine="540"/>
        <w:jc w:val="both"/>
      </w:pPr>
      <w:r>
        <w:rPr>
          <w:sz w:val="24"/>
        </w:rPr>
        <w:t xml:space="preserve">13.4.1. РГО обязана в срок, не превышающий 5 (пяти) дней со дня, следующего за днем получения требования заказчика, а также документов и информации, указанных в </w:t>
      </w:r>
      <w:hyperlink w:history="0" w:anchor="P469" w:tooltip="13.2.1. Типовая форма независимой гарантии, используемой в целях обеспечения заявки, исполнения контракта (договора), гарантийных обязательств, а также форма требования об уплате денежной суммы по независимой гарантии заказчику (далее - требование заказчика) и перечень документов, представляемых заказчиком РГО одновременно с требованием заказчика, устанавливаются в соответствии с частью 8.2 статьи 45 Закона о контрактной системе (Собрание законодательства Российской Федерации, 2013, N 14, ст. 1652; 2022,...">
        <w:r>
          <w:rPr>
            <w:sz w:val="24"/>
            <w:color w:val="0000ff"/>
          </w:rPr>
          <w:t xml:space="preserve">пункте 13.2.1</w:t>
        </w:r>
      </w:hyperlink>
      <w:r>
        <w:rPr>
          <w:sz w:val="24"/>
        </w:rPr>
        <w:t xml:space="preserve"> настоящих Требований, рассмотреть их и уведомить заказчика о принятом решении, при этом в случае наличия возражений РГО направляет заказчику письмо с указанием всех имеющихся возражений.</w:t>
      </w:r>
    </w:p>
    <w:p>
      <w:pPr>
        <w:pStyle w:val="0"/>
        <w:spacing w:before="240" w:lineRule="auto"/>
        <w:ind w:firstLine="540"/>
        <w:jc w:val="both"/>
      </w:pPr>
      <w:r>
        <w:rPr>
          <w:sz w:val="24"/>
        </w:rPr>
        <w:t xml:space="preserve">При отсутствии оснований для отказа в удовлетворении требования заказчика РГО обязана уплатить заказчику денежные средства не позднее 10 (десяти) рабочих дней со дня, следующего за днем получения РГО требования заказчика, на счет заказчика.</w:t>
      </w:r>
    </w:p>
    <w:p>
      <w:pPr>
        <w:pStyle w:val="0"/>
        <w:jc w:val="both"/>
      </w:pPr>
      <w:r>
        <w:rPr>
          <w:sz w:val="24"/>
        </w:rPr>
        <w:t xml:space="preserve">(п. 13.4.1 введен </w:t>
      </w:r>
      <w:hyperlink w:history="0" r:id="rId222"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Приказом</w:t>
        </w:r>
      </w:hyperlink>
      <w:r>
        <w:rPr>
          <w:sz w:val="24"/>
        </w:rPr>
        <w:t xml:space="preserve"> Минэкономразвития России от 31.10.2022 N 591)</w:t>
      </w:r>
    </w:p>
    <w:p>
      <w:pPr>
        <w:pStyle w:val="0"/>
        <w:spacing w:before="240" w:lineRule="auto"/>
        <w:ind w:firstLine="540"/>
        <w:jc w:val="both"/>
      </w:pPr>
      <w:r>
        <w:rPr>
          <w:sz w:val="24"/>
        </w:rPr>
        <w:t xml:space="preserve">13.5. Обязательства РГО считаются исполненными надлежащим образом с момента зачисления денежных средств на счет финансовой организации или заказчика.</w:t>
      </w:r>
    </w:p>
    <w:p>
      <w:pPr>
        <w:pStyle w:val="0"/>
        <w:jc w:val="both"/>
      </w:pPr>
      <w:r>
        <w:rPr>
          <w:sz w:val="24"/>
        </w:rPr>
        <w:t xml:space="preserve">(в ред. </w:t>
      </w:r>
      <w:hyperlink w:history="0" r:id="rId223"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Приказа</w:t>
        </w:r>
      </w:hyperlink>
      <w:r>
        <w:rPr>
          <w:sz w:val="24"/>
        </w:rPr>
        <w:t xml:space="preserve"> Минэкономразвития России от 06.12.2017 N 651)</w:t>
      </w:r>
    </w:p>
    <w:p>
      <w:pPr>
        <w:pStyle w:val="0"/>
        <w:jc w:val="both"/>
      </w:pPr>
      <w:r>
        <w:rPr>
          <w:sz w:val="24"/>
        </w:rPr>
      </w:r>
    </w:p>
    <w:p>
      <w:pPr>
        <w:pStyle w:val="2"/>
        <w:outlineLvl w:val="1"/>
        <w:jc w:val="center"/>
      </w:pPr>
      <w:r>
        <w:rPr>
          <w:sz w:val="24"/>
        </w:rPr>
        <w:t xml:space="preserve">XIV. Порядок расчета показателей для определения категории</w:t>
      </w:r>
    </w:p>
    <w:p>
      <w:pPr>
        <w:pStyle w:val="2"/>
        <w:jc w:val="center"/>
      </w:pPr>
      <w:r>
        <w:rPr>
          <w:sz w:val="24"/>
        </w:rPr>
        <w:t xml:space="preserve">качества поручительств и (или) независимых гарантий РГО</w:t>
      </w:r>
    </w:p>
    <w:p>
      <w:pPr>
        <w:pStyle w:val="0"/>
        <w:jc w:val="center"/>
      </w:pPr>
      <w:r>
        <w:rPr>
          <w:sz w:val="24"/>
        </w:rPr>
      </w:r>
    </w:p>
    <w:p>
      <w:pPr>
        <w:pStyle w:val="0"/>
        <w:jc w:val="center"/>
      </w:pPr>
      <w:r>
        <w:rPr>
          <w:sz w:val="24"/>
        </w:rPr>
        <w:t xml:space="preserve">(в ред. </w:t>
      </w:r>
      <w:hyperlink w:history="0" r:id="rId224"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Приказа</w:t>
        </w:r>
      </w:hyperlink>
      <w:r>
        <w:rPr>
          <w:sz w:val="24"/>
        </w:rPr>
        <w:t xml:space="preserve"> Минэкономразвития России</w:t>
      </w:r>
    </w:p>
    <w:p>
      <w:pPr>
        <w:pStyle w:val="0"/>
        <w:jc w:val="center"/>
      </w:pPr>
      <w:r>
        <w:rPr>
          <w:sz w:val="24"/>
        </w:rPr>
        <w:t xml:space="preserve">от 08.07.2024 N 418)</w:t>
      </w:r>
    </w:p>
    <w:p>
      <w:pPr>
        <w:pStyle w:val="0"/>
        <w:jc w:val="center"/>
      </w:pPr>
      <w:r>
        <w:rPr>
          <w:sz w:val="24"/>
        </w:rPr>
      </w:r>
    </w:p>
    <w:p>
      <w:pPr>
        <w:pStyle w:val="0"/>
        <w:ind w:firstLine="540"/>
        <w:jc w:val="both"/>
      </w:pPr>
      <w:r>
        <w:rPr>
          <w:sz w:val="24"/>
        </w:rPr>
        <w:t xml:space="preserve">14.1. В соответствии с </w:t>
      </w:r>
      <w:hyperlink w:history="0" r:id="rId225" w:tooltip="Положение Банка России от 28.06.2017 N 590-П (ред. от 15.03.2023) &quot;О порядке формирования кредитными организациями резервов на возможные потери по ссудам, ссудной и приравненной к ней задолженности&quot; (вместе с &quot;Порядком оценки кредитного риска по портфелю (портфелям) однородных ссуд&quot;) (Зарегистрировано в Минюсте России 12.07.2017 N 47384) {КонсультантПлюс}">
        <w:r>
          <w:rPr>
            <w:sz w:val="24"/>
            <w:color w:val="0000ff"/>
          </w:rPr>
          <w:t xml:space="preserve">Положением</w:t>
        </w:r>
      </w:hyperlink>
      <w:r>
        <w:rPr>
          <w:sz w:val="24"/>
        </w:rPr>
        <w:t xml:space="preserve"> Центрального банка Российской Федерации от 28 июня 2017 г. N 590-П "О порядке формирования кредитными организациями резервов на возможные потери по ссудам, ссудной и приравненной к ней задолженности" &lt;2&gt; определение категории качества поручительств и (или) независимых гарантий РГО осуществляется на основании следующих показателей: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Зарегистрировано Минюстом России 12 июля 2017 г., регистрационный N 47384, с изменениями, внесенными указаниями Центрального банка Российской Федерации от 26 июля 2018 г. N 4874-У (зарегистрировано Минюстом России 3 октября 2018 г., регистрационный N 52308), от 27 ноября 2018 г. N 4986-У (зарегистрировано Минюстом России 19 декабря 2018 г., регистрационный N 53053), от 26 декабря 2018 г. N 5043-У (зарегистрировано Минюстом России 23 января 2019 г., регистрационный N 53505), от 18 июля 2019 г. N 5211-У (зарегистрировано Минюстом России 12 сентября 2019 г., регистрационный N 55910), от 16 октября 2019 г. N 5288-У (зарегистрировано Минюстом России 27 ноября 2019 г., регистрационный N 56646), от 11 января 2021 г. N 5690-У (зарегистрировано Минюстом России 26 апреля 2021 г., регистрационный N 63238), от 18 августа 2021 г. N 5889-У (зарегистрировано Минюстом России 21 сентября 2021 г., регистрационный N 65077), от 15 февраля 2022 г. N 6068-У (зарегистрировано Минюстом России 24 марта 2022 г., регистрационный N 67894), от 15 марта 2023 г. N 6377-У (зарегистрировано Минюстом России 7 апреля 2023 г., регистрационный N 72915).</w:t>
      </w:r>
    </w:p>
    <w:p>
      <w:pPr>
        <w:pStyle w:val="0"/>
        <w:ind w:firstLine="540"/>
        <w:jc w:val="both"/>
      </w:pPr>
      <w:r>
        <w:rPr>
          <w:sz w:val="24"/>
        </w:rPr>
      </w:r>
    </w:p>
    <w:bookmarkStart w:id="492" w:name="P492"/>
    <w:bookmarkEnd w:id="492"/>
    <w:p>
      <w:pPr>
        <w:pStyle w:val="0"/>
        <w:ind w:firstLine="540"/>
        <w:jc w:val="both"/>
      </w:pPr>
      <w:r>
        <w:rPr>
          <w:sz w:val="24"/>
        </w:rPr>
        <w:t xml:space="preserve">14.1.1. Значение показателя "Доля гарантийной деятельности" (Д) рассчитывается на конец отчетного периода, равного календарному году, предшествующему году, в котором проводится ранжирование РГО (далее - отчетный период), по формуле:</w:t>
      </w:r>
    </w:p>
    <w:p>
      <w:pPr>
        <w:pStyle w:val="0"/>
        <w:jc w:val="both"/>
      </w:pPr>
      <w:r>
        <w:rPr>
          <w:sz w:val="24"/>
        </w:rPr>
      </w:r>
    </w:p>
    <w:p>
      <w:pPr>
        <w:pStyle w:val="0"/>
        <w:jc w:val="center"/>
      </w:pPr>
      <w:r>
        <w:rPr>
          <w:position w:val="-24"/>
        </w:rPr>
        <w:drawing>
          <wp:inline distT="0" distB="0" distL="0" distR="0">
            <wp:extent cx="124587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a:extLst>
                        <a:ext uri="{28A0092B-C50C-407E-A947-70E740481C1C}">
                          <a14:useLocalDpi xmlns:a14="http://schemas.microsoft.com/office/drawing/2010/main" val="0"/>
                        </a:ext>
                      </a:extLst>
                    </a:blip>
                    <a:srcRect/>
                    <a:stretch>
                      <a:fillRect/>
                    </a:stretch>
                  </pic:blipFill>
                  <pic:spPr bwMode="auto">
                    <a:xfrm>
                      <a:off x="0" y="0"/>
                      <a:ext cx="1245870" cy="4686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ЧА - стоимость чистых активов, рассчитываемая как разность между величиной принимаемых к расчету активов и величиной принимаемых к расчету обязательств, относящихся к гарантийной деятельности;</w:t>
      </w:r>
    </w:p>
    <w:p>
      <w:pPr>
        <w:pStyle w:val="0"/>
        <w:spacing w:before="240" w:lineRule="auto"/>
        <w:ind w:firstLine="540"/>
        <w:jc w:val="both"/>
      </w:pPr>
      <w:r>
        <w:rPr>
          <w:sz w:val="24"/>
        </w:rPr>
        <w:t xml:space="preserve">П - итого пассивы организации (по данным бухгалтерской (финансовой) отчетности РГО).</w:t>
      </w:r>
    </w:p>
    <w:p>
      <w:pPr>
        <w:pStyle w:val="0"/>
        <w:spacing w:before="240" w:lineRule="auto"/>
        <w:ind w:firstLine="540"/>
        <w:jc w:val="both"/>
      </w:pPr>
      <w:r>
        <w:rPr>
          <w:sz w:val="24"/>
        </w:rPr>
        <w:t xml:space="preserve">14.1.2. Значение показателя "Отношение крупных кредитных рисков к гарантийному капиталу" (ОКК) рассчитывается на конец отчетного периода по формуле:</w:t>
      </w:r>
    </w:p>
    <w:p>
      <w:pPr>
        <w:pStyle w:val="0"/>
        <w:jc w:val="both"/>
      </w:pPr>
      <w:r>
        <w:rPr>
          <w:sz w:val="24"/>
        </w:rPr>
      </w:r>
    </w:p>
    <w:p>
      <w:pPr>
        <w:pStyle w:val="0"/>
        <w:jc w:val="center"/>
      </w:pPr>
      <w:r>
        <w:rPr>
          <w:position w:val="-24"/>
        </w:rPr>
        <w:drawing>
          <wp:inline distT="0" distB="0" distL="0" distR="0">
            <wp:extent cx="179451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a:extLst>
                        <a:ext uri="{28A0092B-C50C-407E-A947-70E740481C1C}">
                          <a14:useLocalDpi xmlns:a14="http://schemas.microsoft.com/office/drawing/2010/main" val="0"/>
                        </a:ext>
                      </a:extLst>
                    </a:blip>
                    <a:srcRect/>
                    <a:stretch>
                      <a:fillRect/>
                    </a:stretch>
                  </pic:blipFill>
                  <pic:spPr bwMode="auto">
                    <a:xfrm>
                      <a:off x="0" y="0"/>
                      <a:ext cx="1794510" cy="4686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ПП</w:t>
      </w:r>
      <w:r>
        <w:rPr>
          <w:sz w:val="24"/>
          <w:vertAlign w:val="subscript"/>
        </w:rPr>
        <w:t xml:space="preserve">топ10</w:t>
      </w:r>
      <w:r>
        <w:rPr>
          <w:sz w:val="24"/>
        </w:rPr>
        <w:t xml:space="preserve"> - совокупный объем портфеля поручительств и (или) независимых гарантий (учитываемого по первоначальной сумме договора поручительства и (или) договора независимых гарантий), действующий в отношении десяти субъектов МСП и организаций инфраструктуры поддержки, которым выданы поручительства и (или) независимые гарантии наибольшего размера, действующие на конец отчетного периода, без учета объема исполненных обязательств по поручительствам и (или) независимым гарантиям.</w:t>
      </w:r>
    </w:p>
    <w:p>
      <w:pPr>
        <w:pStyle w:val="0"/>
        <w:spacing w:before="240" w:lineRule="auto"/>
        <w:ind w:firstLine="540"/>
        <w:jc w:val="both"/>
      </w:pPr>
      <w:r>
        <w:rPr>
          <w:sz w:val="24"/>
        </w:rPr>
        <w:t xml:space="preserve">14.1.3. Значение показателя "Рентабельность активов за последние 3 отчетных периода" (РА) рассчитывается на конец отчетного периода по формуле (используется среднее арифметическое значение за последние 3 отчетных периода):</w:t>
      </w:r>
    </w:p>
    <w:p>
      <w:pPr>
        <w:pStyle w:val="0"/>
        <w:ind w:firstLine="540"/>
        <w:jc w:val="both"/>
      </w:pPr>
      <w:r>
        <w:rPr>
          <w:sz w:val="24"/>
        </w:rPr>
      </w:r>
    </w:p>
    <w:p>
      <w:pPr>
        <w:pStyle w:val="0"/>
        <w:jc w:val="center"/>
      </w:pPr>
      <w:r>
        <w:rPr>
          <w:position w:val="-45"/>
        </w:rPr>
        <w:drawing>
          <wp:inline distT="0" distB="0" distL="0" distR="0">
            <wp:extent cx="2045970" cy="7315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
                      <a:extLst>
                        <a:ext uri="{28A0092B-C50C-407E-A947-70E740481C1C}">
                          <a14:useLocalDpi xmlns:a14="http://schemas.microsoft.com/office/drawing/2010/main" val="0"/>
                        </a:ext>
                      </a:extLst>
                    </a:blip>
                    <a:srcRect/>
                    <a:stretch>
                      <a:fillRect/>
                    </a:stretch>
                  </pic:blipFill>
                  <pic:spPr bwMode="auto">
                    <a:xfrm>
                      <a:off x="0" y="0"/>
                      <a:ext cx="2045970" cy="73152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ЧП</w:t>
      </w:r>
      <w:r>
        <w:rPr>
          <w:sz w:val="24"/>
          <w:vertAlign w:val="subscript"/>
        </w:rPr>
        <w:t xml:space="preserve">i</w:t>
      </w:r>
      <w:r>
        <w:rPr>
          <w:sz w:val="24"/>
        </w:rPr>
        <w:t xml:space="preserve"> - значение показателя по статье "Чистая прибыль (убыток)" по данным бухгалтерской (финансовой) отчетности РГО за i-й период;</w:t>
      </w:r>
    </w:p>
    <w:p>
      <w:pPr>
        <w:pStyle w:val="0"/>
        <w:spacing w:before="240" w:lineRule="auto"/>
        <w:ind w:firstLine="540"/>
        <w:jc w:val="both"/>
      </w:pPr>
      <w:r>
        <w:rPr>
          <w:sz w:val="24"/>
        </w:rPr>
        <w:t xml:space="preserve">t - отчетный период;</w:t>
      </w:r>
    </w:p>
    <w:p>
      <w:pPr>
        <w:pStyle w:val="0"/>
        <w:spacing w:before="240" w:lineRule="auto"/>
        <w:ind w:firstLine="540"/>
        <w:jc w:val="both"/>
      </w:pPr>
      <w:r>
        <w:rPr>
          <w:sz w:val="24"/>
        </w:rPr>
        <w:t xml:space="preserve">n - показатель, принимающий целые значения от 1 (одного) до 3 (трех): n = 1, если со дня создания РГО прошло не более 1 (одного) года, n = 2, если со дня создания РГО прошло более 1 (одного) года и не более 2 (двух) лет, n = 3 в иных случаях;</w:t>
      </w:r>
    </w:p>
    <w:p>
      <w:pPr>
        <w:pStyle w:val="0"/>
        <w:spacing w:before="240" w:lineRule="auto"/>
        <w:ind w:firstLine="540"/>
        <w:jc w:val="both"/>
      </w:pPr>
      <w:r>
        <w:rPr>
          <w:sz w:val="24"/>
        </w:rPr>
        <w:t xml:space="preserve">А</w:t>
      </w:r>
      <w:r>
        <w:rPr>
          <w:sz w:val="24"/>
          <w:vertAlign w:val="subscript"/>
        </w:rPr>
        <w:t xml:space="preserve">i</w:t>
      </w:r>
      <w:r>
        <w:rPr>
          <w:sz w:val="24"/>
        </w:rPr>
        <w:t xml:space="preserve"> - активы по данным бухгалтерской (финансовой) отчетности РГО на конец i-го периода, рассчитываемые по формуле:</w:t>
      </w:r>
    </w:p>
    <w:p>
      <w:pPr>
        <w:pStyle w:val="0"/>
        <w:ind w:firstLine="540"/>
        <w:jc w:val="both"/>
      </w:pPr>
      <w:r>
        <w:rPr>
          <w:sz w:val="24"/>
        </w:rPr>
      </w:r>
    </w:p>
    <w:p>
      <w:pPr>
        <w:pStyle w:val="0"/>
        <w:jc w:val="center"/>
      </w:pPr>
      <w:r>
        <w:rPr>
          <w:sz w:val="24"/>
        </w:rPr>
        <w:t xml:space="preserve">А</w:t>
      </w:r>
      <w:r>
        <w:rPr>
          <w:sz w:val="24"/>
          <w:vertAlign w:val="subscript"/>
        </w:rPr>
        <w:t xml:space="preserve">i</w:t>
      </w:r>
      <w:r>
        <w:rPr>
          <w:sz w:val="24"/>
        </w:rPr>
        <w:t xml:space="preserve"> = Ф</w:t>
      </w:r>
      <w:r>
        <w:rPr>
          <w:sz w:val="24"/>
          <w:vertAlign w:val="subscript"/>
        </w:rPr>
        <w:t xml:space="preserve">&gt;1</w:t>
      </w:r>
      <w:r>
        <w:rPr>
          <w:sz w:val="24"/>
        </w:rPr>
        <w:t xml:space="preserve"> + Ф</w:t>
      </w:r>
      <w:r>
        <w:rPr>
          <w:sz w:val="24"/>
          <w:vertAlign w:val="subscript"/>
        </w:rPr>
        <w:t xml:space="preserve">&lt;1</w:t>
      </w:r>
      <w:r>
        <w:rPr>
          <w:sz w:val="24"/>
        </w:rPr>
        <w:t xml:space="preserve"> + Д</w:t>
      </w:r>
      <w:r>
        <w:rPr>
          <w:sz w:val="24"/>
          <w:vertAlign w:val="subscript"/>
        </w:rPr>
        <w:t xml:space="preserve">с</w:t>
      </w:r>
      <w:r>
        <w:rPr>
          <w:sz w:val="24"/>
        </w:rPr>
        <w:t xml:space="preserve"> + ПТ</w:t>
      </w:r>
      <w:r>
        <w:rPr>
          <w:sz w:val="24"/>
          <w:vertAlign w:val="subscript"/>
        </w:rPr>
        <w:t xml:space="preserve">риск</w:t>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Ф</w:t>
      </w:r>
      <w:r>
        <w:rPr>
          <w:sz w:val="24"/>
          <w:vertAlign w:val="subscript"/>
        </w:rPr>
        <w:t xml:space="preserve">&gt;1</w:t>
      </w:r>
      <w:r>
        <w:rPr>
          <w:sz w:val="24"/>
        </w:rPr>
        <w:t xml:space="preserve"> - финансовые вложения со сроком востребования более 1 (одного) года (объем временно свободных денежных средств, размещенных на депозитах кредитных организаций с оставшимся сроком востребования более 1 (одного) года, за исключением средств, размещенных в субординированные депозиты и в кредитных организациях без действующей лицензии Центрального банка Российской Федерации, рассчитываемый в целом по организации);</w:t>
      </w:r>
    </w:p>
    <w:p>
      <w:pPr>
        <w:pStyle w:val="0"/>
        <w:spacing w:before="240" w:lineRule="auto"/>
        <w:ind w:firstLine="540"/>
        <w:jc w:val="both"/>
      </w:pPr>
      <w:r>
        <w:rPr>
          <w:sz w:val="24"/>
        </w:rPr>
        <w:t xml:space="preserve">Ф</w:t>
      </w:r>
      <w:r>
        <w:rPr>
          <w:sz w:val="24"/>
          <w:vertAlign w:val="subscript"/>
        </w:rPr>
        <w:t xml:space="preserve">&lt;1</w:t>
      </w:r>
      <w:r>
        <w:rPr>
          <w:sz w:val="24"/>
        </w:rPr>
        <w:t xml:space="preserve"> - финансовые вложения со сроком востребования менее 1 (одного) года (объем временно свободных денежных средств, размещенных на депозитах кредитных организаций с оставшимся сроком востребования до 1 (одного) года, а также в государственные ценные бумаги независимо от срока погашения, за исключением денежных средств, а также средств, размещенных в субординированные депозиты и в кредитных организациях без действующей лицензии Центрального банка Российской Федерации, который рассчитывается в целом по организации);</w:t>
      </w:r>
    </w:p>
    <w:p>
      <w:pPr>
        <w:pStyle w:val="0"/>
        <w:spacing w:before="240" w:lineRule="auto"/>
        <w:ind w:firstLine="540"/>
        <w:jc w:val="both"/>
      </w:pPr>
      <w:r>
        <w:rPr>
          <w:sz w:val="24"/>
        </w:rPr>
        <w:t xml:space="preserve">Д</w:t>
      </w:r>
      <w:r>
        <w:rPr>
          <w:sz w:val="24"/>
          <w:vertAlign w:val="subscript"/>
        </w:rPr>
        <w:t xml:space="preserve">с</w:t>
      </w:r>
      <w:r>
        <w:rPr>
          <w:sz w:val="24"/>
        </w:rPr>
        <w:t xml:space="preserve"> - сумма денежных средств, размещенных на расчетных счетах в кредитных организациях, имеющих действующую лицензию Центрального банка Российской Федерации, а также сумма наличных денежных средств, учитываемых в кассе организации, рассчитываемая в целом по организации;</w:t>
      </w:r>
    </w:p>
    <w:p>
      <w:pPr>
        <w:pStyle w:val="0"/>
        <w:spacing w:before="240" w:lineRule="auto"/>
        <w:ind w:firstLine="540"/>
        <w:jc w:val="both"/>
      </w:pPr>
      <w:r>
        <w:rPr>
          <w:sz w:val="24"/>
        </w:rPr>
        <w:t xml:space="preserve">ПТ</w:t>
      </w:r>
      <w:r>
        <w:rPr>
          <w:sz w:val="24"/>
          <w:vertAlign w:val="subscript"/>
        </w:rPr>
        <w:t xml:space="preserve">риск</w:t>
      </w:r>
      <w:r>
        <w:rPr>
          <w:sz w:val="24"/>
        </w:rPr>
        <w:t xml:space="preserve"> - портфель требований по иным видам финансовой деятельности РГО, подверженных кредитному риску, за исключением деятельности по предоставлению поручительств и (или) независимых гарантий, а также деятельности по размещению временно свободных денежных средств в депозиты и расчетные счета кредитных организаций, государственные ценные бумаги (далее - иные виды финансовой деятельности) за вычетом резервов.</w:t>
      </w:r>
    </w:p>
    <w:p>
      <w:pPr>
        <w:pStyle w:val="0"/>
        <w:jc w:val="both"/>
      </w:pPr>
      <w:r>
        <w:rPr>
          <w:sz w:val="24"/>
        </w:rPr>
        <w:t xml:space="preserve">(пп. 14.1.3 в ред. </w:t>
      </w:r>
      <w:hyperlink w:history="0" r:id="rId229"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Приказа</w:t>
        </w:r>
      </w:hyperlink>
      <w:r>
        <w:rPr>
          <w:sz w:val="24"/>
        </w:rPr>
        <w:t xml:space="preserve"> Минэкономразвития России от 17.06.2025 N 397)</w:t>
      </w:r>
    </w:p>
    <w:p>
      <w:pPr>
        <w:pStyle w:val="0"/>
        <w:spacing w:before="240" w:lineRule="auto"/>
        <w:ind w:firstLine="540"/>
        <w:jc w:val="both"/>
      </w:pPr>
      <w:r>
        <w:rPr>
          <w:sz w:val="24"/>
        </w:rPr>
        <w:t xml:space="preserve">14.1.4. Значение показателя "Стоимость риска за последние 3 отчетных периода" (СР) рассчитывается на конец отчетного периода по формуле:</w:t>
      </w:r>
    </w:p>
    <w:p>
      <w:pPr>
        <w:pStyle w:val="0"/>
        <w:jc w:val="both"/>
      </w:pPr>
      <w:r>
        <w:rPr>
          <w:sz w:val="24"/>
        </w:rPr>
      </w:r>
    </w:p>
    <w:p>
      <w:pPr>
        <w:pStyle w:val="0"/>
        <w:jc w:val="center"/>
      </w:pPr>
      <w:r>
        <w:rPr>
          <w:position w:val="-45"/>
        </w:rPr>
        <w:drawing>
          <wp:inline distT="0" distB="0" distL="0" distR="0">
            <wp:extent cx="2526030" cy="7315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a:extLst>
                        <a:ext uri="{28A0092B-C50C-407E-A947-70E740481C1C}">
                          <a14:useLocalDpi xmlns:a14="http://schemas.microsoft.com/office/drawing/2010/main" val="0"/>
                        </a:ext>
                      </a:extLst>
                    </a:blip>
                    <a:srcRect/>
                    <a:stretch>
                      <a:fillRect/>
                    </a:stretch>
                  </pic:blipFill>
                  <pic:spPr bwMode="auto">
                    <a:xfrm>
                      <a:off x="0" y="0"/>
                      <a:ext cx="2526030" cy="731520"/>
                    </a:xfrm>
                    <a:prstGeom prst="rect">
                      <a:avLst/>
                    </a:prstGeom>
                    <a:noFill/>
                    <a:ln>
                      <a:noFill/>
                    </a:ln>
                  </pic:spPr>
                </pic:pic>
              </a:graphicData>
            </a:graphic>
          </wp:inline>
        </w:drawing>
      </w:r>
    </w:p>
    <w:p>
      <w:pPr>
        <w:pStyle w:val="0"/>
        <w:jc w:val="both"/>
      </w:pPr>
      <w:r>
        <w:rPr>
          <w:sz w:val="24"/>
        </w:rPr>
        <w:t xml:space="preserve">(в ред. </w:t>
      </w:r>
      <w:hyperlink w:history="0" r:id="rId231"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Приказа</w:t>
        </w:r>
      </w:hyperlink>
      <w:r>
        <w:rPr>
          <w:sz w:val="24"/>
        </w:rPr>
        <w:t xml:space="preserve"> Минэкономразвития России от 17.06.2025 N 397)</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РР</w:t>
      </w:r>
      <w:r>
        <w:rPr>
          <w:sz w:val="24"/>
          <w:vertAlign w:val="subscript"/>
        </w:rPr>
        <w:t xml:space="preserve">i</w:t>
      </w:r>
      <w:r>
        <w:rPr>
          <w:sz w:val="24"/>
        </w:rPr>
        <w:t xml:space="preserve"> - расходы по созданию резервов и списанию дебиторской задолженности в части гарантийной деятельности и расходы по созданию резервов и списанию дебиторской задолженности в части иных видов финансовой деятельности за i-й период;</w:t>
      </w:r>
    </w:p>
    <w:p>
      <w:pPr>
        <w:pStyle w:val="0"/>
        <w:spacing w:before="240" w:lineRule="auto"/>
        <w:ind w:firstLine="540"/>
        <w:jc w:val="both"/>
      </w:pPr>
      <w:r>
        <w:rPr>
          <w:sz w:val="24"/>
        </w:rPr>
        <w:t xml:space="preserve">ПП</w:t>
      </w:r>
      <w:r>
        <w:rPr>
          <w:sz w:val="24"/>
          <w:vertAlign w:val="subscript"/>
        </w:rPr>
        <w:t xml:space="preserve">i</w:t>
      </w:r>
      <w:r>
        <w:rPr>
          <w:sz w:val="24"/>
        </w:rPr>
        <w:t xml:space="preserve"> - портфель поручительств и (или) независимых гарантий (объем действующих договоров поручительств и (или) независимых гарантий, учитываемый по первоначальной сумме договора поручительства и (или) независимой гарантии (некорректируемый пропорционально объему погашения задолженности субъекта МСП перед финансовой организацией), за исключением исполненных обязательств по поручительствам и (или) независимым гарантиям, на конец i-го периода;</w:t>
      </w:r>
    </w:p>
    <w:p>
      <w:pPr>
        <w:pStyle w:val="0"/>
        <w:spacing w:before="240" w:lineRule="auto"/>
        <w:ind w:firstLine="540"/>
        <w:jc w:val="both"/>
      </w:pPr>
      <w:r>
        <w:rPr>
          <w:sz w:val="24"/>
        </w:rPr>
        <w:t xml:space="preserve">ПИ</w:t>
      </w:r>
      <w:r>
        <w:rPr>
          <w:sz w:val="24"/>
          <w:vertAlign w:val="subscript"/>
        </w:rPr>
        <w:t xml:space="preserve">i</w:t>
      </w:r>
      <w:r>
        <w:rPr>
          <w:sz w:val="24"/>
        </w:rPr>
        <w:t xml:space="preserve"> - портфель требований по иным видам финансовой деятельности до вычета резервов на конец i-го периода.</w:t>
      </w:r>
    </w:p>
    <w:bookmarkStart w:id="531" w:name="P531"/>
    <w:bookmarkEnd w:id="531"/>
    <w:p>
      <w:pPr>
        <w:pStyle w:val="0"/>
        <w:spacing w:before="240" w:lineRule="auto"/>
        <w:ind w:firstLine="540"/>
        <w:jc w:val="both"/>
      </w:pPr>
      <w:r>
        <w:rPr>
          <w:sz w:val="24"/>
        </w:rPr>
        <w:t xml:space="preserve">14.1.5. Значение показателя "Мультипликатор" (М) рассчитывается ежеквартально по состоянию на конец отчетного квартала (q) по формуле:</w:t>
      </w:r>
    </w:p>
    <w:p>
      <w:pPr>
        <w:pStyle w:val="0"/>
        <w:jc w:val="both"/>
      </w:pPr>
      <w:r>
        <w:rPr>
          <w:sz w:val="24"/>
        </w:rPr>
      </w:r>
    </w:p>
    <w:p>
      <w:pPr>
        <w:pStyle w:val="0"/>
        <w:jc w:val="center"/>
      </w:pPr>
      <w:r>
        <w:rPr>
          <w:position w:val="-32"/>
        </w:rPr>
        <w:drawing>
          <wp:inline distT="0" distB="0" distL="0" distR="0">
            <wp:extent cx="138303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a:extLst>
                        <a:ext uri="{28A0092B-C50C-407E-A947-70E740481C1C}">
                          <a14:useLocalDpi xmlns:a14="http://schemas.microsoft.com/office/drawing/2010/main" val="0"/>
                        </a:ext>
                      </a:extLst>
                    </a:blip>
                    <a:srcRect/>
                    <a:stretch>
                      <a:fillRect/>
                    </a:stretch>
                  </pic:blipFill>
                  <pic:spPr bwMode="auto">
                    <a:xfrm>
                      <a:off x="0" y="0"/>
                      <a:ext cx="1383030" cy="5600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ПП</w:t>
      </w:r>
      <w:r>
        <w:rPr>
          <w:sz w:val="24"/>
          <w:vertAlign w:val="subscript"/>
        </w:rPr>
        <w:t xml:space="preserve">q</w:t>
      </w:r>
      <w:r>
        <w:rPr>
          <w:sz w:val="24"/>
        </w:rPr>
        <w:t xml:space="preserve"> - портфель поручительств и (или) независимых гарантий (объем действующих договоров поручительств и (или) независимых гарантий, учитываемый по первоначальной сумме договора поручительства и (или) независимой гарантии (некорректируемый пропорционально объему погашения задолженности субъекта МСП перед финансовой организацией), за исключением исполненных обязательств по поручительствам и (или) независимым гарантиям, на конец q-го квартала;</w:t>
      </w:r>
    </w:p>
    <w:p>
      <w:pPr>
        <w:pStyle w:val="0"/>
        <w:spacing w:before="240" w:lineRule="auto"/>
        <w:ind w:firstLine="540"/>
        <w:jc w:val="both"/>
      </w:pPr>
      <w:r>
        <w:rPr>
          <w:sz w:val="24"/>
        </w:rPr>
        <w:t xml:space="preserve">ГК</w:t>
      </w:r>
      <w:r>
        <w:rPr>
          <w:sz w:val="24"/>
          <w:vertAlign w:val="subscript"/>
        </w:rPr>
        <w:t xml:space="preserve">q</w:t>
      </w:r>
      <w:r>
        <w:rPr>
          <w:sz w:val="24"/>
        </w:rPr>
        <w:t xml:space="preserve"> - гарантийный капитал, рассчитываемый в соответствии с </w:t>
      </w:r>
      <w:hyperlink w:history="0" w:anchor="P52" w:tooltip="Размер гарантийного капитала РГО должен устанавливаться по состоянию на начало отчетного периода (квартал, год) на уровне стоимости чистых активов РГО по данным бухгалтерской (финансовой) и (или) управленческой отчетности РГО на начало соответствующего отчетного периода (квартал, год) и должен определяться как разность между величиной принимаемых к расчету активов и величиной принимаемых к расчету обязательств с учетом необходимости обеспечения ведения самостоятельного учета средств целевого финансирован...">
        <w:r>
          <w:rPr>
            <w:sz w:val="24"/>
            <w:color w:val="0000ff"/>
          </w:rPr>
          <w:t xml:space="preserve">абзацем вторым пункта 2.1</w:t>
        </w:r>
      </w:hyperlink>
      <w:r>
        <w:rPr>
          <w:sz w:val="24"/>
        </w:rPr>
        <w:t xml:space="preserve"> настоящих Требований.</w:t>
      </w:r>
    </w:p>
    <w:p>
      <w:pPr>
        <w:pStyle w:val="0"/>
        <w:spacing w:before="240" w:lineRule="auto"/>
        <w:ind w:firstLine="540"/>
        <w:jc w:val="both"/>
      </w:pPr>
      <w:r>
        <w:rPr>
          <w:sz w:val="24"/>
        </w:rPr>
        <w:t xml:space="preserve">14.1.6. Показатель "Рост (снижение) гарантийного капитала" </w:t>
      </w:r>
      <w:r>
        <w:rPr>
          <w:position w:val="-12"/>
        </w:rPr>
        <w:drawing>
          <wp:inline distT="0" distB="0" distL="0" distR="0">
            <wp:extent cx="54864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a:extLst>
                        <a:ext uri="{28A0092B-C50C-407E-A947-70E740481C1C}">
                          <a14:useLocalDpi xmlns:a14="http://schemas.microsoft.com/office/drawing/2010/main" val="0"/>
                        </a:ext>
                      </a:extLst>
                    </a:blip>
                    <a:srcRect/>
                    <a:stretch>
                      <a:fillRect/>
                    </a:stretch>
                  </pic:blipFill>
                  <pic:spPr bwMode="auto">
                    <a:xfrm>
                      <a:off x="0" y="0"/>
                      <a:ext cx="548640" cy="308610"/>
                    </a:xfrm>
                    <a:prstGeom prst="rect">
                      <a:avLst/>
                    </a:prstGeom>
                    <a:noFill/>
                    <a:ln>
                      <a:noFill/>
                    </a:ln>
                  </pic:spPr>
                </pic:pic>
              </a:graphicData>
            </a:graphic>
          </wp:inline>
        </w:drawing>
      </w:r>
      <w:r>
        <w:rPr>
          <w:sz w:val="24"/>
        </w:rPr>
        <w:t xml:space="preserve"> рассчитывается ежеквартально по состоянию на последний день отчетного квартала (q) по формуле:</w:t>
      </w:r>
    </w:p>
    <w:p>
      <w:pPr>
        <w:pStyle w:val="0"/>
        <w:jc w:val="both"/>
      </w:pPr>
      <w:r>
        <w:rPr>
          <w:sz w:val="24"/>
        </w:rPr>
      </w:r>
    </w:p>
    <w:p>
      <w:pPr>
        <w:pStyle w:val="0"/>
        <w:jc w:val="center"/>
      </w:pPr>
      <w:r>
        <w:rPr>
          <w:position w:val="-35"/>
        </w:rPr>
        <w:drawing>
          <wp:inline distT="0" distB="0" distL="0" distR="0">
            <wp:extent cx="201168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a:extLst>
                        <a:ext uri="{28A0092B-C50C-407E-A947-70E740481C1C}">
                          <a14:useLocalDpi xmlns:a14="http://schemas.microsoft.com/office/drawing/2010/main" val="0"/>
                        </a:ext>
                      </a:extLst>
                    </a:blip>
                    <a:srcRect/>
                    <a:stretch>
                      <a:fillRect/>
                    </a:stretch>
                  </pic:blipFill>
                  <pic:spPr bwMode="auto">
                    <a:xfrm>
                      <a:off x="0" y="0"/>
                      <a:ext cx="2011680" cy="605790"/>
                    </a:xfrm>
                    <a:prstGeom prst="rect">
                      <a:avLst/>
                    </a:prstGeom>
                    <a:noFill/>
                    <a:ln>
                      <a:noFill/>
                    </a:ln>
                  </pic:spPr>
                </pic:pic>
              </a:graphicData>
            </a:graphic>
          </wp:inline>
        </w:drawing>
      </w:r>
    </w:p>
    <w:p>
      <w:pPr>
        <w:pStyle w:val="0"/>
        <w:jc w:val="both"/>
      </w:pPr>
      <w:r>
        <w:rPr>
          <w:sz w:val="24"/>
        </w:rPr>
      </w:r>
    </w:p>
    <w:bookmarkStart w:id="542" w:name="P542"/>
    <w:bookmarkEnd w:id="542"/>
    <w:p>
      <w:pPr>
        <w:pStyle w:val="0"/>
        <w:ind w:firstLine="540"/>
        <w:jc w:val="both"/>
      </w:pPr>
      <w:r>
        <w:rPr>
          <w:sz w:val="24"/>
        </w:rPr>
        <w:t xml:space="preserve">14.1.7. Показатель "Рост (снижение) гарантийного капитала (за предыдущий квартал)" </w:t>
      </w:r>
      <w:r>
        <w:rPr>
          <w:position w:val="-12"/>
        </w:rPr>
        <w:drawing>
          <wp:inline distT="0" distB="0" distL="0" distR="0">
            <wp:extent cx="7658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a:extLst>
                        <a:ext uri="{28A0092B-C50C-407E-A947-70E740481C1C}">
                          <a14:useLocalDpi xmlns:a14="http://schemas.microsoft.com/office/drawing/2010/main" val="0"/>
                        </a:ext>
                      </a:extLst>
                    </a:blip>
                    <a:srcRect/>
                    <a:stretch>
                      <a:fillRect/>
                    </a:stretch>
                  </pic:blipFill>
                  <pic:spPr bwMode="auto">
                    <a:xfrm>
                      <a:off x="0" y="0"/>
                      <a:ext cx="765810" cy="308610"/>
                    </a:xfrm>
                    <a:prstGeom prst="rect">
                      <a:avLst/>
                    </a:prstGeom>
                    <a:noFill/>
                    <a:ln>
                      <a:noFill/>
                    </a:ln>
                  </pic:spPr>
                </pic:pic>
              </a:graphicData>
            </a:graphic>
          </wp:inline>
        </w:drawing>
      </w:r>
      <w:r>
        <w:rPr>
          <w:sz w:val="24"/>
        </w:rPr>
        <w:t xml:space="preserve"> рассчитывается ежеквартально по состоянию на последний день отчетного квартала (q) по формуле:</w:t>
      </w:r>
    </w:p>
    <w:p>
      <w:pPr>
        <w:pStyle w:val="0"/>
        <w:jc w:val="both"/>
      </w:pPr>
      <w:r>
        <w:rPr>
          <w:sz w:val="24"/>
        </w:rPr>
      </w:r>
    </w:p>
    <w:p>
      <w:pPr>
        <w:pStyle w:val="0"/>
        <w:jc w:val="center"/>
      </w:pPr>
      <w:r>
        <w:rPr>
          <w:position w:val="-35"/>
        </w:rPr>
        <w:drawing>
          <wp:inline distT="0" distB="0" distL="0" distR="0">
            <wp:extent cx="225171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a:extLst>
                        <a:ext uri="{28A0092B-C50C-407E-A947-70E740481C1C}">
                          <a14:useLocalDpi xmlns:a14="http://schemas.microsoft.com/office/drawing/2010/main" val="0"/>
                        </a:ext>
                      </a:extLst>
                    </a:blip>
                    <a:srcRect/>
                    <a:stretch>
                      <a:fillRect/>
                    </a:stretch>
                  </pic:blipFill>
                  <pic:spPr bwMode="auto">
                    <a:xfrm>
                      <a:off x="0" y="0"/>
                      <a:ext cx="225171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14.2. Расчет показателей, указанных в </w:t>
      </w:r>
      <w:hyperlink w:history="0" w:anchor="P492" w:tooltip="14.1.1. Значение показателя &quot;Доля гарантийной деятельности&quot; (Д) рассчитывается на конец отчетного периода, равного календарному году, предшествующему году, в котором проводится ранжирование РГО (далее - отчетный период), по формуле:">
        <w:r>
          <w:rPr>
            <w:sz w:val="24"/>
            <w:color w:val="0000ff"/>
          </w:rPr>
          <w:t xml:space="preserve">подпунктах 14.1.1</w:t>
        </w:r>
      </w:hyperlink>
      <w:r>
        <w:rPr>
          <w:sz w:val="24"/>
        </w:rPr>
        <w:t xml:space="preserve"> - </w:t>
      </w:r>
      <w:hyperlink w:history="0" w:anchor="P531" w:tooltip="14.1.5. Значение показателя &quot;Мультипликатор&quot; (М) рассчитывается ежеквартально по состоянию на конец отчетного квартала (q) по формуле:">
        <w:r>
          <w:rPr>
            <w:sz w:val="24"/>
            <w:color w:val="0000ff"/>
          </w:rPr>
          <w:t xml:space="preserve">14.1.5 пункта 14.1</w:t>
        </w:r>
      </w:hyperlink>
      <w:r>
        <w:rPr>
          <w:sz w:val="24"/>
        </w:rPr>
        <w:t xml:space="preserve"> настоящих Требований, и определение категории поручительств и (или) независимых гарантий РГО производится АО "Корпорация "МСП" на основании информации, использованной в рамках последнего ранжирования РГО.</w:t>
      </w:r>
    </w:p>
    <w:p>
      <w:pPr>
        <w:pStyle w:val="0"/>
        <w:jc w:val="both"/>
      </w:pPr>
      <w:r>
        <w:rPr>
          <w:sz w:val="24"/>
        </w:rPr>
        <w:t xml:space="preserve">(п. 14.2 в ред. </w:t>
      </w:r>
      <w:hyperlink w:history="0" r:id="rId237"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Приказа</w:t>
        </w:r>
      </w:hyperlink>
      <w:r>
        <w:rPr>
          <w:sz w:val="24"/>
        </w:rPr>
        <w:t xml:space="preserve"> Минэкономразвития России от 17.06.2025 N 397)</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Сноска исключена. - </w:t>
      </w:r>
      <w:hyperlink w:history="0" r:id="rId238"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w:t>
        </w:r>
      </w:hyperlink>
      <w:r>
        <w:rPr>
          <w:sz w:val="24"/>
        </w:rPr>
        <w:t xml:space="preserve"> Минэкономразвития России от 17.06.2025 N 397.</w:t>
      </w:r>
    </w:p>
    <w:p>
      <w:pPr>
        <w:pStyle w:val="0"/>
        <w:ind w:firstLine="540"/>
        <w:jc w:val="both"/>
      </w:pPr>
      <w:r>
        <w:rPr>
          <w:sz w:val="24"/>
        </w:rPr>
      </w:r>
    </w:p>
    <w:p>
      <w:pPr>
        <w:pStyle w:val="0"/>
        <w:ind w:firstLine="540"/>
        <w:jc w:val="both"/>
      </w:pPr>
      <w:r>
        <w:rPr>
          <w:sz w:val="24"/>
        </w:rPr>
        <w:t xml:space="preserve">14.3. Расчет показателей, указанных в </w:t>
      </w:r>
      <w:hyperlink w:history="0" w:anchor="P531" w:tooltip="14.1.5. Значение показателя &quot;Мультипликатор&quot; (М) рассчитывается ежеквартально по состоянию на конец отчетного квартала (q) по формуле:">
        <w:r>
          <w:rPr>
            <w:sz w:val="24"/>
            <w:color w:val="0000ff"/>
          </w:rPr>
          <w:t xml:space="preserve">подпунктах 14.1.5</w:t>
        </w:r>
      </w:hyperlink>
      <w:r>
        <w:rPr>
          <w:sz w:val="24"/>
        </w:rPr>
        <w:t xml:space="preserve"> - </w:t>
      </w:r>
      <w:hyperlink w:history="0" w:anchor="P542" w:tooltip="14.1.7. Показатель &quot;Рост (снижение) гарантийного капитала (за предыдущий квартал)&quot;  рассчитывается ежеквартально по состоянию на последний день отчетного квартала (q) по формуле:">
        <w:r>
          <w:rPr>
            <w:sz w:val="24"/>
            <w:color w:val="0000ff"/>
          </w:rPr>
          <w:t xml:space="preserve">14.1.7 пункта 14.1</w:t>
        </w:r>
      </w:hyperlink>
      <w:r>
        <w:rPr>
          <w:sz w:val="24"/>
        </w:rPr>
        <w:t xml:space="preserve"> настоящих Требований, производится АО "Корпорация "МСП" ежеквартально по состоянию на конец отчетного квартала на основании информации о текущей деятельности, представленной РГО в соответствии с </w:t>
      </w:r>
      <w:hyperlink w:history="0" w:anchor="P562" w:tooltip="15.1. РГО представляет информацию о текущей деятельности и в целях ранжирования в автоматизированную информационную систему &quot;Мониторинг МСП&quot; (https://monitoring.corpmsp.ru).">
        <w:r>
          <w:rPr>
            <w:sz w:val="24"/>
            <w:color w:val="0000ff"/>
          </w:rPr>
          <w:t xml:space="preserve">пунктом 15.1</w:t>
        </w:r>
      </w:hyperlink>
      <w:r>
        <w:rPr>
          <w:sz w:val="24"/>
        </w:rPr>
        <w:t xml:space="preserve"> настоящих Требований.</w:t>
      </w:r>
    </w:p>
    <w:p>
      <w:pPr>
        <w:pStyle w:val="0"/>
        <w:jc w:val="both"/>
      </w:pPr>
      <w:r>
        <w:rPr>
          <w:sz w:val="24"/>
        </w:rPr>
        <w:t xml:space="preserve">(в ред. </w:t>
      </w:r>
      <w:hyperlink w:history="0" r:id="rId239"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Приказа</w:t>
        </w:r>
      </w:hyperlink>
      <w:r>
        <w:rPr>
          <w:sz w:val="24"/>
        </w:rPr>
        <w:t xml:space="preserve"> Минэкономразвития России от 17.06.2025 N 397)</w:t>
      </w:r>
    </w:p>
    <w:p>
      <w:pPr>
        <w:pStyle w:val="0"/>
        <w:spacing w:before="240" w:lineRule="auto"/>
        <w:ind w:firstLine="540"/>
        <w:jc w:val="both"/>
      </w:pPr>
      <w:r>
        <w:rPr>
          <w:sz w:val="24"/>
        </w:rPr>
        <w:t xml:space="preserve">14.4. АО "Корпорация "МСП" ежегодно в срок до 1 августа соответствующего календарного года публикует на своем официальном сайте в сети "Интернет" информацию о категории качества поручительств и (или) независимых гарантий РГО, определенную на основании информации, использованной в рамках последнего ранжирования РГО, и ежеквартально не позднее последнего рабочего дня месяца, следующего за отчетным кварталом, обновляет значения показателей, указанных в </w:t>
      </w:r>
      <w:hyperlink w:history="0" w:anchor="P531" w:tooltip="14.1.5. Значение показателя &quot;Мультипликатор&quot; (М) рассчитывается ежеквартально по состоянию на конец отчетного квартала (q) по формуле:">
        <w:r>
          <w:rPr>
            <w:sz w:val="24"/>
            <w:color w:val="0000ff"/>
          </w:rPr>
          <w:t xml:space="preserve">подпунктах 14.1.5</w:t>
        </w:r>
      </w:hyperlink>
      <w:r>
        <w:rPr>
          <w:sz w:val="24"/>
        </w:rPr>
        <w:t xml:space="preserve"> - </w:t>
      </w:r>
      <w:hyperlink w:history="0" w:anchor="P542" w:tooltip="14.1.7. Показатель &quot;Рост (снижение) гарантийного капитала (за предыдущий квартал)&quot;  рассчитывается ежеквартально по состоянию на последний день отчетного квартала (q) по формуле:">
        <w:r>
          <w:rPr>
            <w:sz w:val="24"/>
            <w:color w:val="0000ff"/>
          </w:rPr>
          <w:t xml:space="preserve">14.1.7 пункта 14.1</w:t>
        </w:r>
      </w:hyperlink>
      <w:r>
        <w:rPr>
          <w:sz w:val="24"/>
        </w:rPr>
        <w:t xml:space="preserve"> настоящих Требований (рекомендуемый образец приведен в </w:t>
      </w:r>
      <w:hyperlink w:history="0" w:anchor="P663" w:tooltip="Информация о категории качества поручительств">
        <w:r>
          <w:rPr>
            <w:sz w:val="24"/>
            <w:color w:val="0000ff"/>
          </w:rPr>
          <w:t xml:space="preserve">таблице 1</w:t>
        </w:r>
      </w:hyperlink>
      <w:r>
        <w:rPr>
          <w:sz w:val="24"/>
        </w:rPr>
        <w:t xml:space="preserve"> приложения N 4 к настоящим Требованиям).</w:t>
      </w:r>
    </w:p>
    <w:p>
      <w:pPr>
        <w:pStyle w:val="0"/>
        <w:jc w:val="both"/>
      </w:pPr>
      <w:r>
        <w:rPr>
          <w:sz w:val="24"/>
        </w:rPr>
        <w:t xml:space="preserve">(п. 14.4 в ред. </w:t>
      </w:r>
      <w:hyperlink w:history="0" r:id="rId240"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Приказа</w:t>
        </w:r>
      </w:hyperlink>
      <w:r>
        <w:rPr>
          <w:sz w:val="24"/>
        </w:rPr>
        <w:t xml:space="preserve"> Минэкономразвития России от 17.06.2025 N 397)</w:t>
      </w:r>
    </w:p>
    <w:p>
      <w:pPr>
        <w:pStyle w:val="0"/>
        <w:spacing w:before="240" w:lineRule="auto"/>
        <w:ind w:firstLine="540"/>
        <w:jc w:val="both"/>
      </w:pPr>
      <w:r>
        <w:rPr>
          <w:sz w:val="24"/>
        </w:rPr>
        <w:t xml:space="preserve">14.5. Диапазоны значений показателей, указанных в </w:t>
      </w:r>
      <w:hyperlink w:history="0" w:anchor="P492" w:tooltip="14.1.1. Значение показателя &quot;Доля гарантийной деятельности&quot; (Д) рассчитывается на конец отчетного периода, равного календарному году, предшествующему году, в котором проводится ранжирование РГО (далее - отчетный период), по формуле:">
        <w:r>
          <w:rPr>
            <w:sz w:val="24"/>
            <w:color w:val="0000ff"/>
          </w:rPr>
          <w:t xml:space="preserve">подпунктах 14.1.1</w:t>
        </w:r>
      </w:hyperlink>
      <w:r>
        <w:rPr>
          <w:sz w:val="24"/>
        </w:rPr>
        <w:t xml:space="preserve"> - </w:t>
      </w:r>
      <w:hyperlink w:history="0" w:anchor="P531" w:tooltip="14.1.5. Значение показателя &quot;Мультипликатор&quot; (М) рассчитывается ежеквартально по состоянию на конец отчетного квартала (q) по формуле:">
        <w:r>
          <w:rPr>
            <w:sz w:val="24"/>
            <w:color w:val="0000ff"/>
          </w:rPr>
          <w:t xml:space="preserve">14.1.5 пункта 14.1</w:t>
        </w:r>
      </w:hyperlink>
      <w:r>
        <w:rPr>
          <w:sz w:val="24"/>
        </w:rPr>
        <w:t xml:space="preserve"> настоящих Требований, для определения категории качества поручительств и (или) независимых гарантий РГО приведены в </w:t>
      </w:r>
      <w:hyperlink w:history="0" w:anchor="P717" w:tooltip="Диапазоны значений показателей для определения категории">
        <w:r>
          <w:rPr>
            <w:sz w:val="24"/>
            <w:color w:val="0000ff"/>
          </w:rPr>
          <w:t xml:space="preserve">таблице 2</w:t>
        </w:r>
      </w:hyperlink>
      <w:r>
        <w:rPr>
          <w:sz w:val="24"/>
        </w:rPr>
        <w:t xml:space="preserve"> приложения N 4 к настоящим Требованиям.</w:t>
      </w:r>
    </w:p>
    <w:p>
      <w:pPr>
        <w:pStyle w:val="0"/>
        <w:ind w:firstLine="540"/>
        <w:jc w:val="both"/>
      </w:pPr>
      <w:r>
        <w:rPr>
          <w:sz w:val="24"/>
        </w:rPr>
      </w:r>
    </w:p>
    <w:p>
      <w:pPr>
        <w:pStyle w:val="2"/>
        <w:outlineLvl w:val="1"/>
        <w:jc w:val="center"/>
      </w:pPr>
      <w:r>
        <w:rPr>
          <w:sz w:val="24"/>
        </w:rPr>
        <w:t xml:space="preserve">XV. Иные требования, связанные с деятельностью РГО</w:t>
      </w:r>
    </w:p>
    <w:p>
      <w:pPr>
        <w:pStyle w:val="0"/>
        <w:jc w:val="center"/>
      </w:pPr>
      <w:r>
        <w:rPr>
          <w:sz w:val="24"/>
        </w:rPr>
      </w:r>
    </w:p>
    <w:p>
      <w:pPr>
        <w:pStyle w:val="0"/>
        <w:jc w:val="center"/>
      </w:pPr>
      <w:r>
        <w:rPr>
          <w:sz w:val="24"/>
        </w:rPr>
        <w:t xml:space="preserve">(введено </w:t>
      </w:r>
      <w:hyperlink w:history="0" r:id="rId241"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Приказом</w:t>
        </w:r>
      </w:hyperlink>
      <w:r>
        <w:rPr>
          <w:sz w:val="24"/>
        </w:rPr>
        <w:t xml:space="preserve"> Минэкономразвития России</w:t>
      </w:r>
    </w:p>
    <w:p>
      <w:pPr>
        <w:pStyle w:val="0"/>
        <w:jc w:val="center"/>
      </w:pPr>
      <w:r>
        <w:rPr>
          <w:sz w:val="24"/>
        </w:rPr>
        <w:t xml:space="preserve">от 08.07.2024 N 418)</w:t>
      </w:r>
    </w:p>
    <w:p>
      <w:pPr>
        <w:pStyle w:val="0"/>
        <w:ind w:firstLine="540"/>
        <w:jc w:val="both"/>
      </w:pPr>
      <w:r>
        <w:rPr>
          <w:sz w:val="24"/>
        </w:rPr>
      </w:r>
    </w:p>
    <w:bookmarkStart w:id="562" w:name="P562"/>
    <w:bookmarkEnd w:id="562"/>
    <w:p>
      <w:pPr>
        <w:pStyle w:val="0"/>
        <w:ind w:firstLine="540"/>
        <w:jc w:val="both"/>
      </w:pPr>
      <w:r>
        <w:rPr>
          <w:sz w:val="24"/>
        </w:rPr>
        <w:t xml:space="preserve">15.1. РГО представляет информацию о текущей деятельности и в целях ранжирования в автоматизированную информационную систему "Мониторинг МСП" (</w:t>
      </w:r>
      <w:hyperlink w:history="0" r:id="rId242">
        <w:r>
          <w:rPr>
            <w:sz w:val="24"/>
            <w:color w:val="0000ff"/>
          </w:rPr>
          <w:t xml:space="preserve">https://monitoring.corpmsp.ru</w:t>
        </w:r>
      </w:hyperlink>
      <w:r>
        <w:rPr>
          <w:sz w:val="24"/>
        </w:rPr>
        <w:t xml:space="preserve">).</w:t>
      </w:r>
    </w:p>
    <w:p>
      <w:pPr>
        <w:pStyle w:val="0"/>
        <w:spacing w:before="240" w:lineRule="auto"/>
        <w:ind w:firstLine="540"/>
        <w:jc w:val="both"/>
      </w:pPr>
      <w:r>
        <w:rPr>
          <w:sz w:val="24"/>
        </w:rPr>
        <w:t xml:space="preserve">15.2. РГО по запросу Минэкономразвития России представляет информацию относительно исполнения РГО положений настоящих Требований, своего финансового положения и текущей деятельности на указанную в таком запросе отчетную дату.</w:t>
      </w:r>
    </w:p>
    <w:p>
      <w:pPr>
        <w:pStyle w:val="0"/>
        <w:spacing w:before="240" w:lineRule="auto"/>
        <w:ind w:firstLine="540"/>
        <w:jc w:val="both"/>
      </w:pPr>
      <w:r>
        <w:rPr>
          <w:sz w:val="24"/>
        </w:rPr>
        <w:t xml:space="preserve">15.3. РГО должна быть зарегистрирована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(далее - ЦП МСП) в качестве организации инфраструктуры поддержки.</w:t>
      </w:r>
    </w:p>
    <w:p>
      <w:pPr>
        <w:pStyle w:val="0"/>
        <w:jc w:val="both"/>
      </w:pPr>
      <w:r>
        <w:rPr>
          <w:sz w:val="24"/>
        </w:rPr>
        <w:t xml:space="preserve">(п. 15.3 введен </w:t>
      </w:r>
      <w:hyperlink w:history="0" r:id="rId243"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Приказом</w:t>
        </w:r>
      </w:hyperlink>
      <w:r>
        <w:rPr>
          <w:sz w:val="24"/>
        </w:rPr>
        <w:t xml:space="preserve"> Минэкономразвития России от 17.06.2025 N 397)</w:t>
      </w:r>
    </w:p>
    <w:p>
      <w:pPr>
        <w:pStyle w:val="0"/>
        <w:spacing w:before="240" w:lineRule="auto"/>
        <w:ind w:firstLine="540"/>
        <w:jc w:val="both"/>
      </w:pPr>
      <w:r>
        <w:rPr>
          <w:sz w:val="24"/>
        </w:rPr>
        <w:t xml:space="preserve">15.4. РГО должна обеспечивать:</w:t>
      </w:r>
    </w:p>
    <w:p>
      <w:pPr>
        <w:pStyle w:val="0"/>
        <w:spacing w:before="240" w:lineRule="auto"/>
        <w:ind w:firstLine="540"/>
        <w:jc w:val="both"/>
      </w:pPr>
      <w:r>
        <w:rPr>
          <w:sz w:val="24"/>
        </w:rPr>
        <w:t xml:space="preserve">а) внесение и актуализацию сведений об РГО на ЦП МСП;</w:t>
      </w:r>
    </w:p>
    <w:p>
      <w:pPr>
        <w:pStyle w:val="0"/>
        <w:spacing w:before="240" w:lineRule="auto"/>
        <w:ind w:firstLine="540"/>
        <w:jc w:val="both"/>
      </w:pPr>
      <w:r>
        <w:rPr>
          <w:sz w:val="24"/>
        </w:rPr>
        <w:t xml:space="preserve">б) внесение и актуализацию сведений об услугах (мерах поддержки), оказываемых РГО, на ЦП МСП;</w:t>
      </w:r>
    </w:p>
    <w:p>
      <w:pPr>
        <w:pStyle w:val="0"/>
        <w:spacing w:before="240" w:lineRule="auto"/>
        <w:ind w:firstLine="540"/>
        <w:jc w:val="both"/>
      </w:pPr>
      <w:r>
        <w:rPr>
          <w:sz w:val="24"/>
        </w:rPr>
        <w:t xml:space="preserve">в) внесение и актуализацию сведений об оказанных РГО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(одного)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(п. 15.4 введен </w:t>
      </w:r>
      <w:hyperlink w:history="0" r:id="rId244"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Приказом</w:t>
        </w:r>
      </w:hyperlink>
      <w:r>
        <w:rPr>
          <w:sz w:val="24"/>
        </w:rPr>
        <w:t xml:space="preserve"> Минэкономразвития России от 17.06.2025 N 397)</w:t>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Требованиям,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28 ноября 2016 г. N 763</w:t>
      </w:r>
    </w:p>
    <w:p>
      <w:pPr>
        <w:pStyle w:val="0"/>
        <w:jc w:val="both"/>
      </w:pPr>
      <w:r>
        <w:rPr>
          <w:sz w:val="24"/>
        </w:rPr>
      </w:r>
    </w:p>
    <w:bookmarkStart w:id="581" w:name="P581"/>
    <w:bookmarkEnd w:id="581"/>
    <w:p>
      <w:pPr>
        <w:pStyle w:val="2"/>
        <w:jc w:val="center"/>
      </w:pPr>
      <w:r>
        <w:rPr>
          <w:sz w:val="24"/>
        </w:rPr>
        <w:t xml:space="preserve">ФОРМУЛА</w:t>
      </w:r>
    </w:p>
    <w:p>
      <w:pPr>
        <w:pStyle w:val="2"/>
        <w:jc w:val="center"/>
      </w:pPr>
      <w:r>
        <w:rPr>
          <w:sz w:val="24"/>
        </w:rPr>
        <w:t xml:space="preserve">РАСЧЕТА РЕЗУЛЬТАТА ОТ ОПЕРАЦИОННОЙ И ФИНАНСОВОЙ</w:t>
      </w:r>
    </w:p>
    <w:p>
      <w:pPr>
        <w:pStyle w:val="2"/>
        <w:jc w:val="center"/>
      </w:pPr>
      <w:r>
        <w:rPr>
          <w:sz w:val="24"/>
        </w:rPr>
        <w:t xml:space="preserve">ДЕЯТЕЛЬНОСТИ ЗА ГОД ПО ОСНОВНОМУ ВИДУ ДЕЯТЕЛЬНОСТИ РГО</w:t>
      </w:r>
    </w:p>
    <w:p>
      <w:pPr>
        <w:pStyle w:val="0"/>
        <w:jc w:val="both"/>
      </w:pPr>
      <w:r>
        <w:rPr>
          <w:sz w:val="24"/>
        </w:rPr>
      </w:r>
    </w:p>
    <w:p>
      <w:pPr>
        <w:pStyle w:val="0"/>
        <w:ind w:firstLine="540"/>
        <w:jc w:val="both"/>
      </w:pPr>
      <w:r>
        <w:rPr>
          <w:sz w:val="24"/>
        </w:rPr>
        <w:t xml:space="preserve">Результат от операционной и финансовой деятельности за год по основному виду деятельности РГО рассчитывается по формуле:</w:t>
      </w:r>
    </w:p>
    <w:p>
      <w:pPr>
        <w:pStyle w:val="0"/>
        <w:jc w:val="both"/>
      </w:pPr>
      <w:r>
        <w:rPr>
          <w:sz w:val="24"/>
        </w:rPr>
      </w:r>
    </w:p>
    <w:p>
      <w:pPr>
        <w:pStyle w:val="0"/>
        <w:ind w:firstLine="540"/>
        <w:jc w:val="both"/>
      </w:pPr>
      <w:r>
        <w:rPr>
          <w:sz w:val="24"/>
        </w:rPr>
        <w:t xml:space="preserve">Р = ДР + ДП + ПД - РН - ОР - В,</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Р - результат от операционной и финансовой деятельности за год;</w:t>
      </w:r>
    </w:p>
    <w:p>
      <w:pPr>
        <w:pStyle w:val="0"/>
        <w:spacing w:before="240" w:lineRule="auto"/>
        <w:ind w:firstLine="540"/>
        <w:jc w:val="both"/>
      </w:pPr>
      <w:r>
        <w:rPr>
          <w:sz w:val="24"/>
        </w:rPr>
        <w:t xml:space="preserve">ДР - доход от размещения временно свободных денежных средств за год;</w:t>
      </w:r>
    </w:p>
    <w:p>
      <w:pPr>
        <w:pStyle w:val="0"/>
        <w:spacing w:before="240" w:lineRule="auto"/>
        <w:ind w:firstLine="540"/>
        <w:jc w:val="both"/>
      </w:pPr>
      <w:r>
        <w:rPr>
          <w:sz w:val="24"/>
        </w:rPr>
        <w:t xml:space="preserve">ДП - доход за предоставление поручительств и (или) независимых гарантий за год;</w:t>
      </w:r>
    </w:p>
    <w:p>
      <w:pPr>
        <w:pStyle w:val="0"/>
        <w:spacing w:before="240" w:lineRule="auto"/>
        <w:ind w:firstLine="540"/>
        <w:jc w:val="both"/>
      </w:pPr>
      <w:r>
        <w:rPr>
          <w:sz w:val="24"/>
        </w:rPr>
        <w:t xml:space="preserve">ПД - прочие доходы от основного вида деятельности;</w:t>
      </w:r>
    </w:p>
    <w:p>
      <w:pPr>
        <w:pStyle w:val="0"/>
        <w:spacing w:before="240" w:lineRule="auto"/>
        <w:ind w:firstLine="540"/>
        <w:jc w:val="both"/>
      </w:pPr>
      <w:r>
        <w:rPr>
          <w:sz w:val="24"/>
        </w:rPr>
        <w:t xml:space="preserve">РН - расход, связанный с уплатой соответствующих налогов, связанных с получением доходов от размещения временно свободных денежных средств и предоставления поручительств и (или) независимых гарантий;</w:t>
      </w:r>
    </w:p>
    <w:p>
      <w:pPr>
        <w:pStyle w:val="0"/>
        <w:spacing w:before="240" w:lineRule="auto"/>
        <w:ind w:firstLine="540"/>
        <w:jc w:val="both"/>
      </w:pPr>
      <w:r>
        <w:rPr>
          <w:sz w:val="24"/>
        </w:rPr>
        <w:t xml:space="preserve">ОР - операционные расходы;</w:t>
      </w:r>
    </w:p>
    <w:p>
      <w:pPr>
        <w:pStyle w:val="0"/>
        <w:spacing w:before="240" w:lineRule="auto"/>
        <w:ind w:firstLine="540"/>
        <w:jc w:val="both"/>
      </w:pPr>
      <w:r>
        <w:rPr>
          <w:sz w:val="24"/>
        </w:rPr>
        <w:t xml:space="preserve">В - выплаты по поручительствам и (или) независимым гарантиям.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Требованиям,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28 ноября 2016 г. N 763</w:t>
      </w:r>
    </w:p>
    <w:p>
      <w:pPr>
        <w:pStyle w:val="0"/>
        <w:jc w:val="both"/>
      </w:pPr>
      <w:r>
        <w:rPr>
          <w:sz w:val="24"/>
        </w:rPr>
      </w:r>
    </w:p>
    <w:bookmarkStart w:id="607" w:name="P607"/>
    <w:bookmarkEnd w:id="607"/>
    <w:p>
      <w:pPr>
        <w:pStyle w:val="2"/>
        <w:jc w:val="center"/>
      </w:pPr>
      <w:r>
        <w:rPr>
          <w:sz w:val="24"/>
        </w:rPr>
        <w:t xml:space="preserve">ФОРМУЛА</w:t>
      </w:r>
    </w:p>
    <w:p>
      <w:pPr>
        <w:pStyle w:val="2"/>
        <w:jc w:val="center"/>
      </w:pPr>
      <w:r>
        <w:rPr>
          <w:sz w:val="24"/>
        </w:rPr>
        <w:t xml:space="preserve">ПОДСЧЕТА ОПЕРАЦИОННОГО ЛИМИТА РГО НА ВНОВЬ ПРИНЯТЫЕ</w:t>
      </w:r>
    </w:p>
    <w:p>
      <w:pPr>
        <w:pStyle w:val="2"/>
        <w:jc w:val="center"/>
      </w:pPr>
      <w:r>
        <w:rPr>
          <w:sz w:val="24"/>
        </w:rPr>
        <w:t xml:space="preserve">УСЛОВНЫЕ ОБЯЗАТЕЛЬСТВА НА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45"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Приказа</w:t>
              </w:r>
            </w:hyperlink>
            <w:r>
              <w:rPr>
                <w:sz w:val="24"/>
                <w:color w:val="392c69"/>
              </w:rPr>
              <w:t xml:space="preserve"> Минэкономразвития России от 06.12.2017 N 651)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Операционный лимит на вновь принятые условные обязательства на следующий год рассчитывается по формуле:</w:t>
      </w:r>
    </w:p>
    <w:p>
      <w:pPr>
        <w:pStyle w:val="0"/>
        <w:jc w:val="both"/>
      </w:pPr>
      <w:r>
        <w:rPr>
          <w:sz w:val="24"/>
        </w:rPr>
      </w:r>
    </w:p>
    <w:p>
      <w:pPr>
        <w:pStyle w:val="0"/>
        <w:ind w:firstLine="540"/>
        <w:jc w:val="both"/>
      </w:pPr>
      <w:r>
        <w:rPr>
          <w:position w:val="-25"/>
        </w:rPr>
        <w:drawing>
          <wp:inline distT="0" distB="0" distL="0" distR="0">
            <wp:extent cx="2240280" cy="4705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
                      <a:extLst>
                        <a:ext uri="{28A0092B-C50C-407E-A947-70E740481C1C}">
                          <a14:useLocalDpi xmlns:a14="http://schemas.microsoft.com/office/drawing/2010/main" val="0"/>
                        </a:ext>
                      </a:extLst>
                    </a:blip>
                    <a:srcRect/>
                    <a:stretch>
                      <a:fillRect/>
                    </a:stretch>
                  </pic:blipFill>
                  <pic:spPr bwMode="auto">
                    <a:xfrm>
                      <a:off x="0" y="0"/>
                      <a:ext cx="2240280" cy="470535"/>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Л - операционный лимит на вновь принятые условные обязательства на год в рублях;</w:t>
      </w:r>
    </w:p>
    <w:p>
      <w:pPr>
        <w:pStyle w:val="0"/>
        <w:spacing w:before="240" w:lineRule="auto"/>
        <w:ind w:firstLine="540"/>
        <w:jc w:val="both"/>
      </w:pPr>
      <w:r>
        <w:rPr>
          <w:sz w:val="24"/>
        </w:rPr>
        <w:t xml:space="preserve">Д - планируемый на следующий год доход от размещения временно свободных средств РГО и доход от предоставления поручительств и (или) независимых гарантий за вычетом операционных расходов за указанный период (включая налоговые выплаты) в рублях;</w:t>
      </w:r>
    </w:p>
    <w:p>
      <w:pPr>
        <w:pStyle w:val="0"/>
        <w:spacing w:before="240" w:lineRule="auto"/>
        <w:ind w:firstLine="540"/>
        <w:jc w:val="both"/>
      </w:pPr>
      <w:r>
        <w:rPr>
          <w:position w:val="-3"/>
        </w:rPr>
        <w:drawing>
          <wp:inline distT="0" distB="0" distL="0" distR="0">
            <wp:extent cx="304800" cy="1968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a:extLst>
                        <a:ext uri="{28A0092B-C50C-407E-A947-70E740481C1C}">
                          <a14:useLocalDpi xmlns:a14="http://schemas.microsoft.com/office/drawing/2010/main" val="0"/>
                        </a:ext>
                      </a:extLst>
                    </a:blip>
                    <a:srcRect/>
                    <a:stretch>
                      <a:fillRect/>
                    </a:stretch>
                  </pic:blipFill>
                  <pic:spPr bwMode="auto">
                    <a:xfrm>
                      <a:off x="0" y="0"/>
                      <a:ext cx="304800" cy="196850"/>
                    </a:xfrm>
                    <a:prstGeom prst="rect">
                      <a:avLst/>
                    </a:prstGeom>
                    <a:noFill/>
                    <a:ln>
                      <a:noFill/>
                    </a:ln>
                  </pic:spPr>
                </pic:pic>
              </a:graphicData>
            </a:graphic>
          </wp:inline>
        </w:drawing>
      </w:r>
      <w:r>
        <w:rPr>
          <w:sz w:val="24"/>
        </w:rPr>
        <w:t xml:space="preserve"> - прирост капитала с момента создания РГО в части, которая может быть направлена на выплаты по поручительствам и (или) независимым гарантиям согласно нормативным документам РГО в рублях;</w:t>
      </w:r>
    </w:p>
    <w:p>
      <w:pPr>
        <w:pStyle w:val="0"/>
        <w:spacing w:before="240" w:lineRule="auto"/>
        <w:ind w:firstLine="540"/>
        <w:jc w:val="both"/>
      </w:pPr>
      <w:r>
        <w:rPr>
          <w:sz w:val="24"/>
        </w:rPr>
        <w:t xml:space="preserve">В - ожидаемые выплаты по действующим на начало года поручительствам и (или) независимым гарантиям за весь оставшийся срок существования таких поручительств и (или) независимых гарантий в рублях;</w:t>
      </w:r>
    </w:p>
    <w:p>
      <w:pPr>
        <w:pStyle w:val="0"/>
        <w:spacing w:before="240" w:lineRule="auto"/>
        <w:ind w:firstLine="540"/>
        <w:jc w:val="both"/>
      </w:pPr>
      <w:r>
        <w:rPr>
          <w:sz w:val="24"/>
        </w:rPr>
        <w:t xml:space="preserve">П - прогнозный уровень ожидаемых потерь (в процентах) по предоставленным за следующий год поручительствам и (или) независимым гарантиям за весь срок существования таких поручительств и (или) независимых гарантий.</w:t>
      </w:r>
    </w:p>
    <w:p>
      <w:pPr>
        <w:pStyle w:val="0"/>
        <w:jc w:val="both"/>
      </w:pPr>
      <w:r>
        <w:rPr>
          <w:sz w:val="24"/>
        </w:rPr>
        <w:t xml:space="preserve">(в ред. </w:t>
      </w:r>
      <w:hyperlink w:history="0" r:id="rId248"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Приказа</w:t>
        </w:r>
      </w:hyperlink>
      <w:r>
        <w:rPr>
          <w:sz w:val="24"/>
        </w:rPr>
        <w:t xml:space="preserve"> Минэкономразвития России от 06.12.2017 N 651)</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требованиям к фондам содействия</w:t>
      </w:r>
    </w:p>
    <w:p>
      <w:pPr>
        <w:pStyle w:val="0"/>
        <w:jc w:val="right"/>
      </w:pPr>
      <w:r>
        <w:rPr>
          <w:sz w:val="24"/>
        </w:rPr>
        <w:t xml:space="preserve">кредитованию (гарантийным фондам, фондам</w:t>
      </w:r>
    </w:p>
    <w:p>
      <w:pPr>
        <w:pStyle w:val="0"/>
        <w:jc w:val="right"/>
      </w:pPr>
      <w:r>
        <w:rPr>
          <w:sz w:val="24"/>
        </w:rPr>
        <w:t xml:space="preserve">поручительств) и их деятельности,</w:t>
      </w:r>
    </w:p>
    <w:p>
      <w:pPr>
        <w:pStyle w:val="0"/>
        <w:jc w:val="right"/>
      </w:pPr>
      <w:r>
        <w:rPr>
          <w:sz w:val="24"/>
        </w:rPr>
        <w:t xml:space="preserve">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28 ноября 2016 г. N 763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49"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Приказа</w:t>
              </w:r>
            </w:hyperlink>
            <w:r>
              <w:rPr>
                <w:sz w:val="24"/>
                <w:color w:val="392c69"/>
              </w:rPr>
              <w:t xml:space="preserve"> Минэкономразвития России от 24.09.2021 N 564)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jc w:val="right"/>
      </w:pPr>
      <w:r>
        <w:rPr>
          <w:sz w:val="24"/>
        </w:rPr>
        <w:t xml:space="preserve">(рекомендуемый образец)</w:t>
      </w:r>
    </w:p>
    <w:p>
      <w:pPr>
        <w:pStyle w:val="0"/>
        <w:jc w:val="right"/>
      </w:pPr>
      <w:r>
        <w:rPr>
          <w:sz w:val="24"/>
        </w:rPr>
      </w:r>
    </w:p>
    <w:bookmarkStart w:id="641" w:name="P641"/>
    <w:bookmarkEnd w:id="641"/>
    <w:p>
      <w:pPr>
        <w:pStyle w:val="0"/>
        <w:jc w:val="center"/>
      </w:pPr>
      <w:r>
        <w:rPr>
          <w:sz w:val="24"/>
        </w:rPr>
        <w:t xml:space="preserve">Справка о целевом использовании кредита (займа)</w:t>
      </w:r>
    </w:p>
    <w:p>
      <w:pPr>
        <w:pStyle w:val="0"/>
        <w:jc w:val="center"/>
      </w:pPr>
      <w:r>
        <w:rPr>
          <w:sz w:val="24"/>
        </w:rPr>
      </w:r>
    </w:p>
    <w:p>
      <w:pPr>
        <w:pStyle w:val="0"/>
        <w:ind w:firstLine="540"/>
        <w:jc w:val="both"/>
      </w:pPr>
      <w:r>
        <w:rPr>
          <w:sz w:val="24"/>
        </w:rPr>
        <w:t xml:space="preserve">Настоящим (кредитная организация/финансовая организация) _____________________ подтверждает, что в соответствии с требованиями Федерального </w:t>
      </w:r>
      <w:hyperlink w:history="0" r:id="rId250"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2021, N 27, ст. 5179), положениями </w:t>
      </w:r>
      <w:hyperlink w:history="0" r:id="rId251" w:tooltip="&quot;Гражданский кодекс Российской Федерации (часть вторая)&quot; от 26.01.1996 N 14-ФЗ (ред. от 24.06.2025) {КонсультантПлюс}">
        <w:r>
          <w:rPr>
            <w:sz w:val="24"/>
            <w:color w:val="0000ff"/>
          </w:rPr>
          <w:t xml:space="preserve">статьи 814</w:t>
        </w:r>
      </w:hyperlink>
      <w:r>
        <w:rPr>
          <w:sz w:val="24"/>
        </w:rPr>
        <w:t xml:space="preserve"> Гражданского кодекса Российской Федерации (Собрание законодательства Российской Федерации, 1996, N 5, ст. 410; 2017, N 31, ст. 4761) (кредитной организацией/финансовой организацией) ________________ в полном объеме был осуществлен контроль за целевым использованием денежных средств, предоставленных в соответствии с условиями кредитного договора (договора займа) от ______________ N _____, обеспеченного поручительством (независимой гарантией) (указывается наименование РГО) ________________ от ______________ N _____, сумма денежных средств, поступивших в соответствии с кредитным договором (договором займа), в полном объеме была израсходована заемщиком (указываются фамилия, имя, отчество (последнее - при наличии) на цели, предусмотренные кредитным договором (договором займа).</w:t>
      </w:r>
    </w:p>
    <w:p>
      <w:pPr>
        <w:pStyle w:val="0"/>
        <w:ind w:firstLine="540"/>
        <w:jc w:val="both"/>
      </w:pPr>
      <w:r>
        <w:rPr>
          <w:sz w:val="24"/>
        </w:rPr>
      </w:r>
    </w:p>
    <w:p>
      <w:pPr>
        <w:pStyle w:val="0"/>
        <w:ind w:firstLine="540"/>
        <w:jc w:val="both"/>
      </w:pPr>
      <w:r>
        <w:rPr>
          <w:sz w:val="24"/>
        </w:rPr>
        <w:t xml:space="preserve">Руководитель кредитной организации/финансовой организации (уполномоченное лицо)</w:t>
      </w:r>
    </w:p>
    <w:p>
      <w:pPr>
        <w:pStyle w:val="0"/>
        <w:spacing w:before="240" w:lineRule="auto"/>
        <w:ind w:firstLine="540"/>
        <w:jc w:val="both"/>
      </w:pPr>
      <w:r>
        <w:rPr>
          <w:sz w:val="24"/>
        </w:rPr>
        <w:t xml:space="preserve">___________________ (подпись) (фамилия, имя, отчество (последнее - при наличии)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Требованиям,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28 ноября 2016 г. N 763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252"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Приказом</w:t>
              </w:r>
            </w:hyperlink>
            <w:r>
              <w:rPr>
                <w:sz w:val="24"/>
                <w:color w:val="392c69"/>
              </w:rPr>
              <w:t xml:space="preserve"> Минэкономразвития России от 08.07.2024 N 418)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Рекомендуемый образец</w:t>
      </w:r>
    </w:p>
    <w:p>
      <w:pPr>
        <w:pStyle w:val="0"/>
        <w:jc w:val="both"/>
      </w:pPr>
      <w:r>
        <w:rPr>
          <w:sz w:val="24"/>
        </w:rPr>
      </w:r>
    </w:p>
    <w:p>
      <w:pPr>
        <w:pStyle w:val="0"/>
        <w:outlineLvl w:val="2"/>
        <w:jc w:val="right"/>
      </w:pPr>
      <w:r>
        <w:rPr>
          <w:sz w:val="24"/>
        </w:rPr>
        <w:t xml:space="preserve">Таблица 1</w:t>
      </w:r>
    </w:p>
    <w:p>
      <w:pPr>
        <w:pStyle w:val="0"/>
        <w:jc w:val="both"/>
      </w:pPr>
      <w:r>
        <w:rPr>
          <w:sz w:val="24"/>
        </w:rPr>
      </w:r>
    </w:p>
    <w:bookmarkStart w:id="663" w:name="P663"/>
    <w:bookmarkEnd w:id="663"/>
    <w:p>
      <w:pPr>
        <w:pStyle w:val="0"/>
        <w:jc w:val="center"/>
      </w:pPr>
      <w:r>
        <w:rPr>
          <w:sz w:val="24"/>
        </w:rPr>
        <w:t xml:space="preserve">Информация о категории качества поручительств</w:t>
      </w:r>
    </w:p>
    <w:p>
      <w:pPr>
        <w:pStyle w:val="0"/>
        <w:jc w:val="center"/>
      </w:pPr>
      <w:r>
        <w:rPr>
          <w:sz w:val="24"/>
        </w:rPr>
        <w:t xml:space="preserve">и (или) независимых гарантий РГО</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
        <w:gridCol w:w="1530"/>
        <w:gridCol w:w="623"/>
        <w:gridCol w:w="793"/>
        <w:gridCol w:w="907"/>
        <w:gridCol w:w="1190"/>
        <w:gridCol w:w="1190"/>
        <w:gridCol w:w="1077"/>
        <w:gridCol w:w="737"/>
        <w:gridCol w:w="1247"/>
        <w:gridCol w:w="1020"/>
        <w:gridCol w:w="907"/>
        <w:gridCol w:w="1247"/>
        <w:gridCol w:w="680"/>
      </w:tblGrid>
      <w:tr>
        <w:tc>
          <w:tcPr>
            <w:tcW w:w="453" w:type="dxa"/>
            <w:vMerge w:val="restart"/>
          </w:tcPr>
          <w:p>
            <w:pPr>
              <w:pStyle w:val="0"/>
              <w:jc w:val="center"/>
            </w:pPr>
            <w:r>
              <w:rPr>
                <w:sz w:val="24"/>
              </w:rPr>
              <w:t xml:space="preserve">N п/п</w:t>
            </w:r>
          </w:p>
        </w:tc>
        <w:tc>
          <w:tcPr>
            <w:tcW w:w="1530" w:type="dxa"/>
            <w:vMerge w:val="restart"/>
          </w:tcPr>
          <w:p>
            <w:pPr>
              <w:pStyle w:val="0"/>
              <w:jc w:val="center"/>
            </w:pPr>
            <w:r>
              <w:rPr>
                <w:sz w:val="24"/>
              </w:rPr>
              <w:t xml:space="preserve">Субъект Российской Федерации, на территории которого зарегистрирована РГО</w:t>
            </w:r>
          </w:p>
        </w:tc>
        <w:tc>
          <w:tcPr>
            <w:tcW w:w="623" w:type="dxa"/>
            <w:vMerge w:val="restart"/>
          </w:tcPr>
          <w:p>
            <w:pPr>
              <w:pStyle w:val="0"/>
              <w:jc w:val="center"/>
            </w:pPr>
            <w:r>
              <w:rPr>
                <w:sz w:val="24"/>
              </w:rPr>
              <w:t xml:space="preserve">Наименование РГО</w:t>
            </w:r>
          </w:p>
        </w:tc>
        <w:tc>
          <w:tcPr>
            <w:tcW w:w="793" w:type="dxa"/>
            <w:vMerge w:val="restart"/>
          </w:tcPr>
          <w:p>
            <w:pPr>
              <w:pStyle w:val="0"/>
              <w:jc w:val="center"/>
            </w:pPr>
            <w:r>
              <w:rPr>
                <w:sz w:val="24"/>
              </w:rPr>
              <w:t xml:space="preserve">Идентификационный номер налогоплательщика РГО (ИНН)</w:t>
            </w:r>
          </w:p>
        </w:tc>
        <w:tc>
          <w:tcPr>
            <w:gridSpan w:val="5"/>
            <w:tcW w:w="5101" w:type="dxa"/>
            <w:vMerge w:val="restart"/>
          </w:tcPr>
          <w:p>
            <w:pPr>
              <w:pStyle w:val="0"/>
              <w:jc w:val="center"/>
            </w:pPr>
            <w:r>
              <w:rPr>
                <w:sz w:val="24"/>
              </w:rPr>
              <w:t xml:space="preserve">Значение показателя за ____ год в рамках ежегодного ранжирования РГО </w:t>
            </w:r>
            <w:hyperlink w:history="0" w:anchor="P713" w:tooltip="&lt;1&gt; Приказ Минэкономразвития России от 10 сентября 2020 г. N 587 &quot;Об утверждении порядка проведения акционерным обществом &quot;Федеральная корпорация по развитию малого и среднего предпринимательства&quot; ежегодного ранжирования фондов содействия кредитованию (гарантийных фондов, фондов поручительств) с присвоением ранга, характеризующего степень финансовой устойчивости и эффективность деятельности фондов содействия кредитованию (гарантийных фондов, фондов поручительств) как участников национальной гарантийной с...">
              <w:r>
                <w:rPr>
                  <w:sz w:val="24"/>
                  <w:color w:val="0000ff"/>
                </w:rPr>
                <w:t xml:space="preserve">&lt;1&gt;</w:t>
              </w:r>
            </w:hyperlink>
          </w:p>
        </w:tc>
        <w:tc>
          <w:tcPr>
            <w:gridSpan w:val="3"/>
            <w:tcW w:w="3174" w:type="dxa"/>
          </w:tcPr>
          <w:p>
            <w:pPr>
              <w:pStyle w:val="0"/>
              <w:jc w:val="center"/>
            </w:pPr>
            <w:r>
              <w:rPr>
                <w:sz w:val="24"/>
              </w:rPr>
              <w:t xml:space="preserve">Значение показателя в рамках текущей деятельности РГО</w:t>
            </w:r>
          </w:p>
        </w:tc>
        <w:tc>
          <w:tcPr>
            <w:tcW w:w="1247" w:type="dxa"/>
            <w:vMerge w:val="restart"/>
          </w:tcPr>
          <w:p>
            <w:pPr>
              <w:pStyle w:val="0"/>
              <w:jc w:val="center"/>
            </w:pPr>
            <w:r>
              <w:rPr>
                <w:sz w:val="24"/>
              </w:rPr>
              <w:t xml:space="preserve">Категория качества (I, II, без категории)</w:t>
            </w:r>
          </w:p>
        </w:tc>
        <w:tc>
          <w:tcPr>
            <w:tcW w:w="680" w:type="dxa"/>
            <w:vMerge w:val="restart"/>
          </w:tcPr>
          <w:p>
            <w:pPr>
              <w:pStyle w:val="0"/>
              <w:jc w:val="center"/>
            </w:pPr>
            <w:r>
              <w:rPr>
                <w:sz w:val="24"/>
              </w:rPr>
              <w:t xml:space="preserve">Примечание</w:t>
            </w:r>
          </w:p>
        </w:tc>
      </w:tr>
      <w:tr>
        <w:tc>
          <w:tcPr>
            <w:vMerge w:val="continue"/>
          </w:tcPr>
          <w:p/>
        </w:tc>
        <w:tc>
          <w:tcPr>
            <w:vMerge w:val="continue"/>
          </w:tcPr>
          <w:p/>
        </w:tc>
        <w:tc>
          <w:tcPr>
            <w:vMerge w:val="continue"/>
          </w:tcPr>
          <w:p/>
        </w:tc>
        <w:tc>
          <w:tcPr>
            <w:vMerge w:val="continue"/>
          </w:tcPr>
          <w:p/>
        </w:tc>
        <w:tc>
          <w:tcPr>
            <w:gridSpan w:val="5"/>
            <w:vMerge w:val="continue"/>
          </w:tcPr>
          <w:p/>
        </w:tc>
        <w:tc>
          <w:tcPr>
            <w:gridSpan w:val="2"/>
            <w:tcW w:w="2267" w:type="dxa"/>
          </w:tcPr>
          <w:p>
            <w:pPr>
              <w:pStyle w:val="0"/>
              <w:jc w:val="center"/>
            </w:pPr>
            <w:r>
              <w:rPr>
                <w:sz w:val="24"/>
              </w:rPr>
              <w:t xml:space="preserve">за ___ квартал</w:t>
            </w:r>
          </w:p>
        </w:tc>
        <w:tc>
          <w:tcPr>
            <w:tcW w:w="907" w:type="dxa"/>
            <w:vMerge w:val="restart"/>
          </w:tcPr>
          <w:p>
            <w:pPr>
              <w:pStyle w:val="0"/>
              <w:jc w:val="center"/>
            </w:pPr>
            <w:r>
              <w:rPr>
                <w:sz w:val="24"/>
              </w:rPr>
              <w:t xml:space="preserve">Рост (снижение) гарантийного капитала (за предыдущий квартал), %</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907" w:type="dxa"/>
          </w:tcPr>
          <w:p>
            <w:pPr>
              <w:pStyle w:val="0"/>
              <w:jc w:val="center"/>
            </w:pPr>
            <w:r>
              <w:rPr>
                <w:sz w:val="24"/>
              </w:rPr>
              <w:t xml:space="preserve">Доля гарантийной деятельности, %</w:t>
            </w:r>
          </w:p>
        </w:tc>
        <w:tc>
          <w:tcPr>
            <w:tcW w:w="1190" w:type="dxa"/>
          </w:tcPr>
          <w:p>
            <w:pPr>
              <w:pStyle w:val="0"/>
              <w:jc w:val="center"/>
            </w:pPr>
            <w:r>
              <w:rPr>
                <w:sz w:val="24"/>
              </w:rPr>
              <w:t xml:space="preserve">Отношение крупных кредитных рисков к гарантийному капиталу, %</w:t>
            </w:r>
          </w:p>
        </w:tc>
        <w:tc>
          <w:tcPr>
            <w:tcW w:w="1190" w:type="dxa"/>
          </w:tcPr>
          <w:p>
            <w:pPr>
              <w:pStyle w:val="0"/>
              <w:jc w:val="center"/>
            </w:pPr>
            <w:r>
              <w:rPr>
                <w:sz w:val="24"/>
              </w:rPr>
              <w:t xml:space="preserve">Рентабельность активов за последние 3 отчетных периода, %</w:t>
            </w:r>
          </w:p>
        </w:tc>
        <w:tc>
          <w:tcPr>
            <w:tcW w:w="1077" w:type="dxa"/>
          </w:tcPr>
          <w:p>
            <w:pPr>
              <w:pStyle w:val="0"/>
              <w:jc w:val="center"/>
            </w:pPr>
            <w:r>
              <w:rPr>
                <w:sz w:val="24"/>
              </w:rPr>
              <w:t xml:space="preserve">Стоимость риска за последние 3 отчетных периода, %</w:t>
            </w:r>
          </w:p>
        </w:tc>
        <w:tc>
          <w:tcPr>
            <w:tcW w:w="737" w:type="dxa"/>
          </w:tcPr>
          <w:p>
            <w:pPr>
              <w:pStyle w:val="0"/>
              <w:jc w:val="center"/>
            </w:pPr>
            <w:r>
              <w:rPr>
                <w:sz w:val="24"/>
              </w:rPr>
              <w:t xml:space="preserve">Мультипликатор, ед.</w:t>
            </w:r>
          </w:p>
        </w:tc>
        <w:tc>
          <w:tcPr>
            <w:tcW w:w="1247" w:type="dxa"/>
          </w:tcPr>
          <w:p>
            <w:pPr>
              <w:pStyle w:val="0"/>
              <w:jc w:val="center"/>
            </w:pPr>
            <w:r>
              <w:rPr>
                <w:sz w:val="24"/>
              </w:rPr>
              <w:t xml:space="preserve">Рост (снижение) гарантийного капитала, %</w:t>
            </w:r>
          </w:p>
        </w:tc>
        <w:tc>
          <w:tcPr>
            <w:tcW w:w="1020" w:type="dxa"/>
          </w:tcPr>
          <w:p>
            <w:pPr>
              <w:pStyle w:val="0"/>
              <w:jc w:val="center"/>
            </w:pPr>
            <w:r>
              <w:rPr>
                <w:sz w:val="24"/>
              </w:rPr>
              <w:t xml:space="preserve">Мультипликатор, ед.</w:t>
            </w:r>
          </w:p>
        </w:tc>
        <w:tc>
          <w:tcPr>
            <w:vMerge w:val="continue"/>
          </w:tcPr>
          <w:p/>
        </w:tc>
        <w:tc>
          <w:tcPr>
            <w:vMerge w:val="continue"/>
          </w:tcPr>
          <w:p/>
        </w:tc>
        <w:tc>
          <w:tcPr>
            <w:vMerge w:val="continue"/>
          </w:tcPr>
          <w:p/>
        </w:tc>
      </w:tr>
      <w:tr>
        <w:tc>
          <w:tcPr>
            <w:tcW w:w="453" w:type="dxa"/>
          </w:tcPr>
          <w:p>
            <w:pPr>
              <w:pStyle w:val="0"/>
              <w:jc w:val="center"/>
            </w:pPr>
            <w:r>
              <w:rPr>
                <w:sz w:val="24"/>
              </w:rPr>
              <w:t xml:space="preserve">1</w:t>
            </w:r>
          </w:p>
        </w:tc>
        <w:tc>
          <w:tcPr>
            <w:tcW w:w="1530" w:type="dxa"/>
          </w:tcPr>
          <w:p>
            <w:pPr>
              <w:pStyle w:val="0"/>
              <w:jc w:val="center"/>
            </w:pPr>
            <w:r>
              <w:rPr>
                <w:sz w:val="24"/>
              </w:rPr>
              <w:t xml:space="preserve">2</w:t>
            </w:r>
          </w:p>
        </w:tc>
        <w:tc>
          <w:tcPr>
            <w:tcW w:w="623" w:type="dxa"/>
          </w:tcPr>
          <w:p>
            <w:pPr>
              <w:pStyle w:val="0"/>
              <w:jc w:val="center"/>
            </w:pPr>
            <w:r>
              <w:rPr>
                <w:sz w:val="24"/>
              </w:rPr>
              <w:t xml:space="preserve">3</w:t>
            </w:r>
          </w:p>
        </w:tc>
        <w:tc>
          <w:tcPr>
            <w:tcW w:w="793" w:type="dxa"/>
          </w:tcPr>
          <w:p>
            <w:pPr>
              <w:pStyle w:val="0"/>
              <w:jc w:val="center"/>
            </w:pPr>
            <w:r>
              <w:rPr>
                <w:sz w:val="24"/>
              </w:rPr>
              <w:t xml:space="preserve">4</w:t>
            </w:r>
          </w:p>
        </w:tc>
        <w:tc>
          <w:tcPr>
            <w:tcW w:w="907" w:type="dxa"/>
          </w:tcPr>
          <w:p>
            <w:pPr>
              <w:pStyle w:val="0"/>
              <w:jc w:val="center"/>
            </w:pPr>
            <w:r>
              <w:rPr>
                <w:sz w:val="24"/>
              </w:rPr>
              <w:t xml:space="preserve">5</w:t>
            </w:r>
          </w:p>
        </w:tc>
        <w:tc>
          <w:tcPr>
            <w:tcW w:w="1190" w:type="dxa"/>
          </w:tcPr>
          <w:p>
            <w:pPr>
              <w:pStyle w:val="0"/>
              <w:jc w:val="center"/>
            </w:pPr>
            <w:r>
              <w:rPr>
                <w:sz w:val="24"/>
              </w:rPr>
              <w:t xml:space="preserve">6</w:t>
            </w:r>
          </w:p>
        </w:tc>
        <w:tc>
          <w:tcPr>
            <w:tcW w:w="1190" w:type="dxa"/>
          </w:tcPr>
          <w:p>
            <w:pPr>
              <w:pStyle w:val="0"/>
              <w:jc w:val="center"/>
            </w:pPr>
            <w:r>
              <w:rPr>
                <w:sz w:val="24"/>
              </w:rPr>
              <w:t xml:space="preserve">7</w:t>
            </w:r>
          </w:p>
        </w:tc>
        <w:tc>
          <w:tcPr>
            <w:tcW w:w="1077" w:type="dxa"/>
          </w:tcPr>
          <w:p>
            <w:pPr>
              <w:pStyle w:val="0"/>
              <w:jc w:val="center"/>
            </w:pPr>
            <w:r>
              <w:rPr>
                <w:sz w:val="24"/>
              </w:rPr>
              <w:t xml:space="preserve">8</w:t>
            </w:r>
          </w:p>
        </w:tc>
        <w:tc>
          <w:tcPr>
            <w:tcW w:w="737" w:type="dxa"/>
          </w:tcPr>
          <w:p>
            <w:pPr>
              <w:pStyle w:val="0"/>
              <w:jc w:val="center"/>
            </w:pPr>
            <w:r>
              <w:rPr>
                <w:sz w:val="24"/>
              </w:rPr>
              <w:t xml:space="preserve">9</w:t>
            </w:r>
          </w:p>
        </w:tc>
        <w:tc>
          <w:tcPr>
            <w:tcW w:w="1247" w:type="dxa"/>
          </w:tcPr>
          <w:p>
            <w:pPr>
              <w:pStyle w:val="0"/>
              <w:jc w:val="center"/>
            </w:pPr>
            <w:r>
              <w:rPr>
                <w:sz w:val="24"/>
              </w:rPr>
              <w:t xml:space="preserve">10</w:t>
            </w:r>
          </w:p>
        </w:tc>
        <w:tc>
          <w:tcPr>
            <w:tcW w:w="1020" w:type="dxa"/>
          </w:tcPr>
          <w:p>
            <w:pPr>
              <w:pStyle w:val="0"/>
              <w:jc w:val="center"/>
            </w:pPr>
            <w:r>
              <w:rPr>
                <w:sz w:val="24"/>
              </w:rPr>
              <w:t xml:space="preserve">11</w:t>
            </w:r>
          </w:p>
        </w:tc>
        <w:tc>
          <w:tcPr>
            <w:tcW w:w="907" w:type="dxa"/>
          </w:tcPr>
          <w:p>
            <w:pPr>
              <w:pStyle w:val="0"/>
              <w:jc w:val="center"/>
            </w:pPr>
            <w:r>
              <w:rPr>
                <w:sz w:val="24"/>
              </w:rPr>
              <w:t xml:space="preserve">12</w:t>
            </w:r>
          </w:p>
        </w:tc>
        <w:tc>
          <w:tcPr>
            <w:tcW w:w="1247" w:type="dxa"/>
          </w:tcPr>
          <w:p>
            <w:pPr>
              <w:pStyle w:val="0"/>
              <w:jc w:val="center"/>
            </w:pPr>
            <w:r>
              <w:rPr>
                <w:sz w:val="24"/>
              </w:rPr>
              <w:t xml:space="preserve">13</w:t>
            </w:r>
          </w:p>
        </w:tc>
        <w:tc>
          <w:tcPr>
            <w:tcW w:w="680" w:type="dxa"/>
          </w:tcPr>
          <w:p>
            <w:pPr>
              <w:pStyle w:val="0"/>
              <w:jc w:val="center"/>
            </w:pPr>
            <w:r>
              <w:rPr>
                <w:sz w:val="24"/>
              </w:rPr>
              <w:t xml:space="preserve">14</w:t>
            </w:r>
          </w:p>
        </w:tc>
      </w:tr>
      <w:tr>
        <w:tc>
          <w:tcPr>
            <w:tcW w:w="453" w:type="dxa"/>
          </w:tcPr>
          <w:p>
            <w:pPr>
              <w:pStyle w:val="0"/>
            </w:pPr>
            <w:r>
              <w:rPr>
                <w:sz w:val="24"/>
              </w:rPr>
            </w:r>
          </w:p>
        </w:tc>
        <w:tc>
          <w:tcPr>
            <w:tcW w:w="1530" w:type="dxa"/>
          </w:tcPr>
          <w:p>
            <w:pPr>
              <w:pStyle w:val="0"/>
            </w:pPr>
            <w:r>
              <w:rPr>
                <w:sz w:val="24"/>
              </w:rPr>
            </w:r>
          </w:p>
        </w:tc>
        <w:tc>
          <w:tcPr>
            <w:tcW w:w="623" w:type="dxa"/>
          </w:tcPr>
          <w:p>
            <w:pPr>
              <w:pStyle w:val="0"/>
            </w:pPr>
            <w:r>
              <w:rPr>
                <w:sz w:val="24"/>
              </w:rPr>
            </w:r>
          </w:p>
        </w:tc>
        <w:tc>
          <w:tcPr>
            <w:tcW w:w="793" w:type="dxa"/>
          </w:tcPr>
          <w:p>
            <w:pPr>
              <w:pStyle w:val="0"/>
            </w:pPr>
            <w:r>
              <w:rPr>
                <w:sz w:val="24"/>
              </w:rPr>
            </w:r>
          </w:p>
        </w:tc>
        <w:tc>
          <w:tcPr>
            <w:tcW w:w="907" w:type="dxa"/>
          </w:tcPr>
          <w:p>
            <w:pPr>
              <w:pStyle w:val="0"/>
            </w:pPr>
            <w:r>
              <w:rPr>
                <w:sz w:val="24"/>
              </w:rPr>
            </w:r>
          </w:p>
        </w:tc>
        <w:tc>
          <w:tcPr>
            <w:tcW w:w="1190" w:type="dxa"/>
          </w:tcPr>
          <w:p>
            <w:pPr>
              <w:pStyle w:val="0"/>
            </w:pPr>
            <w:r>
              <w:rPr>
                <w:sz w:val="24"/>
              </w:rPr>
            </w:r>
          </w:p>
        </w:tc>
        <w:tc>
          <w:tcPr>
            <w:tcW w:w="1190"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907" w:type="dxa"/>
          </w:tcPr>
          <w:p>
            <w:pPr>
              <w:pStyle w:val="0"/>
            </w:pPr>
            <w:r>
              <w:rPr>
                <w:sz w:val="24"/>
              </w:rPr>
            </w:r>
          </w:p>
        </w:tc>
        <w:tc>
          <w:tcPr>
            <w:tcW w:w="1247" w:type="dxa"/>
          </w:tcPr>
          <w:p>
            <w:pPr>
              <w:pStyle w:val="0"/>
            </w:pPr>
            <w:r>
              <w:rPr>
                <w:sz w:val="24"/>
              </w:rPr>
            </w:r>
          </w:p>
        </w:tc>
        <w:tc>
          <w:tcPr>
            <w:tcW w:w="680" w:type="dxa"/>
          </w:tcPr>
          <w:p>
            <w:pPr>
              <w:pStyle w:val="0"/>
            </w:pPr>
            <w:r>
              <w:rPr>
                <w:sz w:val="24"/>
              </w:rPr>
            </w:r>
          </w:p>
        </w:tc>
      </w:tr>
    </w:tbl>
    <w:p>
      <w:pPr>
        <w:sectPr>
          <w:headerReference w:type="default" r:id="rId253"/>
          <w:headerReference w:type="first" r:id="rId253"/>
          <w:footerReference w:type="default" r:id="rId254"/>
          <w:footerReference w:type="first" r:id="rId254"/>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13" w:name="P713"/>
    <w:bookmarkEnd w:id="713"/>
    <w:p>
      <w:pPr>
        <w:pStyle w:val="0"/>
        <w:spacing w:before="240" w:lineRule="auto"/>
        <w:ind w:firstLine="540"/>
        <w:jc w:val="both"/>
      </w:pPr>
      <w:r>
        <w:rPr>
          <w:sz w:val="24"/>
        </w:rPr>
        <w:t xml:space="preserve">&lt;1&gt; </w:t>
      </w:r>
      <w:hyperlink w:history="0" r:id="rId255" w:tooltip="Приказ Минэкономразвития России от 10.09.2020 N 587 (ред. от 29.05.2024) &quot;Об утверждении порядка проведения акционерным обществом &quot;Федеральная корпорация по развитию малого и среднего предпринимательства&quot; ежегодного ранжирования фондов содействия кредитованию (гарантийных фондов, фондов поручительств) с присвоением ранга, характеризующего степень финансовой устойчивости и эффективность деятельности фондов содействия кредитованию (гарантийных фондов, фондов поручительств) как участников национальной гарантий {КонсультантПлюс}">
        <w:r>
          <w:rPr>
            <w:sz w:val="24"/>
            <w:color w:val="0000ff"/>
          </w:rPr>
          <w:t xml:space="preserve">Приказ</w:t>
        </w:r>
      </w:hyperlink>
      <w:r>
        <w:rPr>
          <w:sz w:val="24"/>
        </w:rPr>
        <w:t xml:space="preserve"> Минэкономразвития России от 10 сентября 2020 г. N 587 "Об утверждении порядка проведения акционерным обществом "Федеральная корпорация по развитию малого и среднего предпринимательства" ежегодного ранжирования фондов содействия кредитованию (гарантийных фондов, фондов поручительств) с присвоением ранга, характеризующего степень финансовой устойчивости и эффективность деятельности фондов содействия кредитованию (гарантийных фондов, фондов поручительств) как участников национальной гарантийной системы поддержки малого и среднего предпринимательства" (зарегистрирован Минюстом России 9 октября 2022 г., регистрационный N 60322, с изменениями, внесенными приказом Минэкономразвития России от 12 июля 2022 г. N 362 (зарегистрирован Минюстом России 5 октября 2022 г., регистрационный N 70392).</w:t>
      </w:r>
    </w:p>
    <w:p>
      <w:pPr>
        <w:pStyle w:val="0"/>
        <w:jc w:val="both"/>
      </w:pPr>
      <w:r>
        <w:rPr>
          <w:sz w:val="24"/>
        </w:rPr>
      </w:r>
    </w:p>
    <w:p>
      <w:pPr>
        <w:pStyle w:val="0"/>
        <w:outlineLvl w:val="2"/>
        <w:jc w:val="right"/>
      </w:pPr>
      <w:r>
        <w:rPr>
          <w:sz w:val="24"/>
        </w:rPr>
        <w:t xml:space="preserve">Таблица 2</w:t>
      </w:r>
    </w:p>
    <w:p>
      <w:pPr>
        <w:pStyle w:val="0"/>
        <w:jc w:val="both"/>
      </w:pPr>
      <w:r>
        <w:rPr>
          <w:sz w:val="24"/>
        </w:rPr>
      </w:r>
    </w:p>
    <w:bookmarkStart w:id="717" w:name="P717"/>
    <w:bookmarkEnd w:id="717"/>
    <w:p>
      <w:pPr>
        <w:pStyle w:val="0"/>
        <w:jc w:val="center"/>
      </w:pPr>
      <w:r>
        <w:rPr>
          <w:sz w:val="24"/>
        </w:rPr>
        <w:t xml:space="preserve">Диапазоны значений показателей для определения категории</w:t>
      </w:r>
    </w:p>
    <w:p>
      <w:pPr>
        <w:pStyle w:val="0"/>
        <w:jc w:val="center"/>
      </w:pPr>
      <w:r>
        <w:rPr>
          <w:sz w:val="24"/>
        </w:rPr>
        <w:t xml:space="preserve">качества поручительств и (или) независимых гарантий РГО</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948"/>
        <w:gridCol w:w="1247"/>
        <w:gridCol w:w="1492"/>
        <w:gridCol w:w="1492"/>
        <w:gridCol w:w="1492"/>
      </w:tblGrid>
      <w:tr>
        <w:tc>
          <w:tcPr>
            <w:tcW w:w="454" w:type="dxa"/>
            <w:vMerge w:val="restart"/>
          </w:tcPr>
          <w:p>
            <w:pPr>
              <w:pStyle w:val="0"/>
              <w:jc w:val="center"/>
            </w:pPr>
            <w:r>
              <w:rPr>
                <w:sz w:val="24"/>
              </w:rPr>
              <w:t xml:space="preserve">N п/п</w:t>
            </w:r>
          </w:p>
        </w:tc>
        <w:tc>
          <w:tcPr>
            <w:tcW w:w="2948" w:type="dxa"/>
            <w:vMerge w:val="restart"/>
          </w:tcPr>
          <w:p>
            <w:pPr>
              <w:pStyle w:val="0"/>
              <w:jc w:val="center"/>
            </w:pPr>
            <w:r>
              <w:rPr>
                <w:sz w:val="24"/>
              </w:rPr>
              <w:t xml:space="preserve">Наименование показателя</w:t>
            </w:r>
          </w:p>
        </w:tc>
        <w:tc>
          <w:tcPr>
            <w:tcW w:w="1247" w:type="dxa"/>
            <w:vMerge w:val="restart"/>
          </w:tcPr>
          <w:p>
            <w:pPr>
              <w:pStyle w:val="0"/>
              <w:jc w:val="center"/>
            </w:pPr>
            <w:r>
              <w:rPr>
                <w:sz w:val="24"/>
              </w:rPr>
              <w:t xml:space="preserve">Периодичность</w:t>
            </w:r>
          </w:p>
        </w:tc>
        <w:tc>
          <w:tcPr>
            <w:gridSpan w:val="3"/>
            <w:tcW w:w="4476" w:type="dxa"/>
          </w:tcPr>
          <w:p>
            <w:pPr>
              <w:pStyle w:val="0"/>
              <w:jc w:val="center"/>
            </w:pPr>
            <w:r>
              <w:rPr>
                <w:sz w:val="24"/>
              </w:rPr>
              <w:t xml:space="preserve">Доля значений показателей</w:t>
            </w:r>
          </w:p>
        </w:tc>
      </w:tr>
      <w:tr>
        <w:tc>
          <w:tcPr>
            <w:vMerge w:val="continue"/>
          </w:tcPr>
          <w:p/>
        </w:tc>
        <w:tc>
          <w:tcPr>
            <w:vMerge w:val="continue"/>
          </w:tcPr>
          <w:p/>
        </w:tc>
        <w:tc>
          <w:tcPr>
            <w:vMerge w:val="continue"/>
          </w:tcPr>
          <w:p/>
        </w:tc>
        <w:tc>
          <w:tcPr>
            <w:tcW w:w="1492" w:type="dxa"/>
          </w:tcPr>
          <w:p>
            <w:pPr>
              <w:pStyle w:val="0"/>
              <w:jc w:val="center"/>
            </w:pPr>
            <w:r>
              <w:rPr>
                <w:sz w:val="24"/>
              </w:rPr>
              <w:t xml:space="preserve">1 категория (одновременное соблюдение)</w:t>
            </w:r>
          </w:p>
        </w:tc>
        <w:tc>
          <w:tcPr>
            <w:tcW w:w="1492" w:type="dxa"/>
          </w:tcPr>
          <w:p>
            <w:pPr>
              <w:pStyle w:val="0"/>
              <w:jc w:val="center"/>
            </w:pPr>
            <w:r>
              <w:rPr>
                <w:sz w:val="24"/>
              </w:rPr>
              <w:t xml:space="preserve">2 категория (одновременное соблюдение)</w:t>
            </w:r>
          </w:p>
        </w:tc>
        <w:tc>
          <w:tcPr>
            <w:tcW w:w="1492" w:type="dxa"/>
          </w:tcPr>
          <w:p>
            <w:pPr>
              <w:pStyle w:val="0"/>
              <w:jc w:val="center"/>
            </w:pPr>
            <w:r>
              <w:rPr>
                <w:sz w:val="24"/>
              </w:rPr>
              <w:t xml:space="preserve">Без категории (вариативное соблюдение)</w:t>
            </w:r>
          </w:p>
        </w:tc>
      </w:tr>
      <w:tr>
        <w:tc>
          <w:tcPr>
            <w:tcW w:w="454" w:type="dxa"/>
          </w:tcPr>
          <w:p>
            <w:pPr>
              <w:pStyle w:val="0"/>
              <w:jc w:val="center"/>
            </w:pPr>
            <w:r>
              <w:rPr>
                <w:sz w:val="24"/>
              </w:rPr>
              <w:t xml:space="preserve">1</w:t>
            </w:r>
          </w:p>
        </w:tc>
        <w:tc>
          <w:tcPr>
            <w:tcW w:w="2948" w:type="dxa"/>
          </w:tcPr>
          <w:p>
            <w:pPr>
              <w:pStyle w:val="0"/>
              <w:jc w:val="center"/>
            </w:pPr>
            <w:r>
              <w:rPr>
                <w:sz w:val="24"/>
              </w:rPr>
              <w:t xml:space="preserve">2</w:t>
            </w:r>
          </w:p>
        </w:tc>
        <w:tc>
          <w:tcPr>
            <w:tcW w:w="1247" w:type="dxa"/>
          </w:tcPr>
          <w:p>
            <w:pPr>
              <w:pStyle w:val="0"/>
              <w:jc w:val="center"/>
            </w:pPr>
            <w:r>
              <w:rPr>
                <w:sz w:val="24"/>
              </w:rPr>
              <w:t xml:space="preserve">3</w:t>
            </w:r>
          </w:p>
        </w:tc>
        <w:tc>
          <w:tcPr>
            <w:tcW w:w="1492" w:type="dxa"/>
          </w:tcPr>
          <w:p>
            <w:pPr>
              <w:pStyle w:val="0"/>
              <w:jc w:val="center"/>
            </w:pPr>
            <w:r>
              <w:rPr>
                <w:sz w:val="24"/>
              </w:rPr>
              <w:t xml:space="preserve">4</w:t>
            </w:r>
          </w:p>
        </w:tc>
        <w:tc>
          <w:tcPr>
            <w:tcW w:w="1492" w:type="dxa"/>
          </w:tcPr>
          <w:p>
            <w:pPr>
              <w:pStyle w:val="0"/>
              <w:jc w:val="center"/>
            </w:pPr>
            <w:r>
              <w:rPr>
                <w:sz w:val="24"/>
              </w:rPr>
              <w:t xml:space="preserve">5</w:t>
            </w:r>
          </w:p>
        </w:tc>
        <w:tc>
          <w:tcPr>
            <w:tcW w:w="1492" w:type="dxa"/>
          </w:tcPr>
          <w:p>
            <w:pPr>
              <w:pStyle w:val="0"/>
              <w:jc w:val="center"/>
            </w:pPr>
            <w:r>
              <w:rPr>
                <w:sz w:val="24"/>
              </w:rPr>
              <w:t xml:space="preserve">6</w:t>
            </w:r>
          </w:p>
        </w:tc>
      </w:tr>
      <w:tr>
        <w:tc>
          <w:tcPr>
            <w:tcW w:w="454" w:type="dxa"/>
          </w:tcPr>
          <w:p>
            <w:pPr>
              <w:pStyle w:val="0"/>
              <w:jc w:val="center"/>
            </w:pPr>
            <w:r>
              <w:rPr>
                <w:sz w:val="24"/>
              </w:rPr>
              <w:t xml:space="preserve">1</w:t>
            </w:r>
          </w:p>
        </w:tc>
        <w:tc>
          <w:tcPr>
            <w:tcW w:w="2948" w:type="dxa"/>
          </w:tcPr>
          <w:p>
            <w:pPr>
              <w:pStyle w:val="0"/>
              <w:jc w:val="both"/>
            </w:pPr>
            <w:r>
              <w:rPr>
                <w:sz w:val="24"/>
              </w:rPr>
              <w:t xml:space="preserve">Доля гарантийной деятельности</w:t>
            </w:r>
          </w:p>
        </w:tc>
        <w:tc>
          <w:tcPr>
            <w:tcW w:w="1247" w:type="dxa"/>
          </w:tcPr>
          <w:p>
            <w:pPr>
              <w:pStyle w:val="0"/>
              <w:jc w:val="center"/>
            </w:pPr>
            <w:r>
              <w:rPr>
                <w:sz w:val="24"/>
              </w:rPr>
              <w:t xml:space="preserve">Ежегодно</w:t>
            </w:r>
          </w:p>
        </w:tc>
        <w:tc>
          <w:tcPr>
            <w:tcW w:w="1492" w:type="dxa"/>
          </w:tcPr>
          <w:p>
            <w:pPr>
              <w:pStyle w:val="0"/>
              <w:jc w:val="center"/>
            </w:pP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80%</w:t>
            </w:r>
          </w:p>
        </w:tc>
        <w:tc>
          <w:tcPr>
            <w:tcW w:w="1492" w:type="dxa"/>
          </w:tcPr>
          <w:p>
            <w:pPr>
              <w:pStyle w:val="0"/>
              <w:jc w:val="center"/>
            </w:pPr>
            <w:r>
              <w:rPr>
                <w:sz w:val="24"/>
              </w:rPr>
              <w:t xml:space="preserve">-</w:t>
            </w:r>
          </w:p>
        </w:tc>
        <w:tc>
          <w:tcPr>
            <w:tcW w:w="1492" w:type="dxa"/>
          </w:tcPr>
          <w:p>
            <w:pPr>
              <w:pStyle w:val="0"/>
              <w:jc w:val="center"/>
            </w:pPr>
            <w:r>
              <w:rPr>
                <w:sz w:val="24"/>
              </w:rPr>
              <w:t xml:space="preserve">-</w:t>
            </w:r>
          </w:p>
        </w:tc>
      </w:tr>
      <w:tr>
        <w:tc>
          <w:tcPr>
            <w:tcW w:w="454" w:type="dxa"/>
          </w:tcPr>
          <w:p>
            <w:pPr>
              <w:pStyle w:val="0"/>
              <w:jc w:val="center"/>
            </w:pPr>
            <w:r>
              <w:rPr>
                <w:sz w:val="24"/>
              </w:rPr>
              <w:t xml:space="preserve">2</w:t>
            </w:r>
          </w:p>
        </w:tc>
        <w:tc>
          <w:tcPr>
            <w:tcW w:w="2948" w:type="dxa"/>
          </w:tcPr>
          <w:p>
            <w:pPr>
              <w:pStyle w:val="0"/>
              <w:jc w:val="both"/>
            </w:pPr>
            <w:r>
              <w:rPr>
                <w:sz w:val="24"/>
              </w:rPr>
              <w:t xml:space="preserve">Отношение крупных кредитных рисков к гарантийному капиталу</w:t>
            </w:r>
          </w:p>
        </w:tc>
        <w:tc>
          <w:tcPr>
            <w:tcW w:w="1247" w:type="dxa"/>
          </w:tcPr>
          <w:p>
            <w:pPr>
              <w:pStyle w:val="0"/>
              <w:jc w:val="center"/>
            </w:pPr>
            <w:r>
              <w:rPr>
                <w:sz w:val="24"/>
              </w:rPr>
              <w:t xml:space="preserve">Ежегодно</w:t>
            </w:r>
          </w:p>
        </w:tc>
        <w:tc>
          <w:tcPr>
            <w:tcW w:w="1492" w:type="dxa"/>
          </w:tcPr>
          <w:p>
            <w:pPr>
              <w:pStyle w:val="0"/>
              <w:jc w:val="center"/>
            </w:pP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50%</w:t>
            </w:r>
          </w:p>
        </w:tc>
        <w:tc>
          <w:tcPr>
            <w:tcW w:w="1492" w:type="dxa"/>
          </w:tcPr>
          <w:p>
            <w:pPr>
              <w:pStyle w:val="0"/>
              <w:jc w:val="center"/>
            </w:pP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150%</w:t>
            </w:r>
          </w:p>
        </w:tc>
        <w:tc>
          <w:tcPr>
            <w:tcW w:w="1492" w:type="dxa"/>
          </w:tcPr>
          <w:p>
            <w:pPr>
              <w:pStyle w:val="0"/>
              <w:jc w:val="center"/>
            </w:pPr>
            <w:r>
              <w:rPr>
                <w:sz w:val="24"/>
              </w:rPr>
              <w:t xml:space="preserve">&gt; 150%</w:t>
            </w:r>
          </w:p>
        </w:tc>
      </w:tr>
      <w:tr>
        <w:tc>
          <w:tcPr>
            <w:tcW w:w="454" w:type="dxa"/>
          </w:tcPr>
          <w:p>
            <w:pPr>
              <w:pStyle w:val="0"/>
              <w:jc w:val="center"/>
            </w:pPr>
            <w:r>
              <w:rPr>
                <w:sz w:val="24"/>
              </w:rPr>
              <w:t xml:space="preserve">3</w:t>
            </w:r>
          </w:p>
        </w:tc>
        <w:tc>
          <w:tcPr>
            <w:tcW w:w="2948" w:type="dxa"/>
          </w:tcPr>
          <w:p>
            <w:pPr>
              <w:pStyle w:val="0"/>
              <w:jc w:val="both"/>
            </w:pPr>
            <w:r>
              <w:rPr>
                <w:sz w:val="24"/>
              </w:rPr>
              <w:t xml:space="preserve">Рентабельность активов за последние 3 отчетных периода</w:t>
            </w:r>
          </w:p>
        </w:tc>
        <w:tc>
          <w:tcPr>
            <w:tcW w:w="1247" w:type="dxa"/>
          </w:tcPr>
          <w:p>
            <w:pPr>
              <w:pStyle w:val="0"/>
              <w:jc w:val="center"/>
            </w:pPr>
            <w:r>
              <w:rPr>
                <w:sz w:val="24"/>
              </w:rPr>
              <w:t xml:space="preserve">Ежегодно</w:t>
            </w:r>
          </w:p>
        </w:tc>
        <w:tc>
          <w:tcPr>
            <w:tcW w:w="1492" w:type="dxa"/>
          </w:tcPr>
          <w:p>
            <w:pPr>
              <w:pStyle w:val="0"/>
              <w:jc w:val="center"/>
            </w:pP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w:t>
            </w:r>
          </w:p>
        </w:tc>
        <w:tc>
          <w:tcPr>
            <w:tcW w:w="1492" w:type="dxa"/>
          </w:tcPr>
          <w:p>
            <w:pPr>
              <w:pStyle w:val="0"/>
              <w:jc w:val="center"/>
            </w:pPr>
            <w:r>
              <w:rPr>
                <w:sz w:val="24"/>
              </w:rPr>
              <w:t xml:space="preserve">-</w:t>
            </w:r>
          </w:p>
        </w:tc>
        <w:tc>
          <w:tcPr>
            <w:tcW w:w="1492" w:type="dxa"/>
          </w:tcPr>
          <w:p>
            <w:pPr>
              <w:pStyle w:val="0"/>
              <w:jc w:val="center"/>
            </w:pPr>
            <w:r>
              <w:rPr>
                <w:sz w:val="24"/>
              </w:rPr>
              <w:t xml:space="preserve">-</w:t>
            </w:r>
          </w:p>
        </w:tc>
      </w:tr>
      <w:tr>
        <w:tc>
          <w:tcPr>
            <w:tcW w:w="454" w:type="dxa"/>
          </w:tcPr>
          <w:p>
            <w:pPr>
              <w:pStyle w:val="0"/>
              <w:jc w:val="center"/>
            </w:pPr>
            <w:r>
              <w:rPr>
                <w:sz w:val="24"/>
              </w:rPr>
              <w:t xml:space="preserve">4</w:t>
            </w:r>
          </w:p>
        </w:tc>
        <w:tc>
          <w:tcPr>
            <w:tcW w:w="2948" w:type="dxa"/>
          </w:tcPr>
          <w:p>
            <w:pPr>
              <w:pStyle w:val="0"/>
              <w:jc w:val="both"/>
            </w:pPr>
            <w:r>
              <w:rPr>
                <w:sz w:val="24"/>
              </w:rPr>
              <w:t xml:space="preserve">Стоимость риска за последние 3 отчетных периода</w:t>
            </w:r>
          </w:p>
        </w:tc>
        <w:tc>
          <w:tcPr>
            <w:tcW w:w="1247" w:type="dxa"/>
          </w:tcPr>
          <w:p>
            <w:pPr>
              <w:pStyle w:val="0"/>
              <w:jc w:val="center"/>
            </w:pPr>
            <w:r>
              <w:rPr>
                <w:sz w:val="24"/>
              </w:rPr>
              <w:t xml:space="preserve">Ежегодно</w:t>
            </w:r>
          </w:p>
        </w:tc>
        <w:tc>
          <w:tcPr>
            <w:tcW w:w="1492" w:type="dxa"/>
          </w:tcPr>
          <w:p>
            <w:pPr>
              <w:pStyle w:val="0"/>
              <w:jc w:val="center"/>
            </w:pP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4%</w:t>
            </w:r>
          </w:p>
        </w:tc>
        <w:tc>
          <w:tcPr>
            <w:tcW w:w="1492" w:type="dxa"/>
          </w:tcPr>
          <w:p>
            <w:pPr>
              <w:pStyle w:val="0"/>
              <w:jc w:val="center"/>
            </w:pPr>
            <w:r>
              <w:rPr>
                <w:sz w:val="24"/>
              </w:rPr>
              <w:t xml:space="preserve">-</w:t>
            </w:r>
          </w:p>
        </w:tc>
        <w:tc>
          <w:tcPr>
            <w:tcW w:w="1492" w:type="dxa"/>
          </w:tcPr>
          <w:p>
            <w:pPr>
              <w:pStyle w:val="0"/>
              <w:jc w:val="center"/>
            </w:pPr>
            <w:r>
              <w:rPr>
                <w:sz w:val="24"/>
              </w:rPr>
              <w:t xml:space="preserve">-</w:t>
            </w:r>
          </w:p>
        </w:tc>
      </w:tr>
      <w:tr>
        <w:tc>
          <w:tcPr>
            <w:tcW w:w="454" w:type="dxa"/>
          </w:tcPr>
          <w:p>
            <w:pPr>
              <w:pStyle w:val="0"/>
              <w:jc w:val="center"/>
            </w:pPr>
            <w:r>
              <w:rPr>
                <w:sz w:val="24"/>
              </w:rPr>
              <w:t xml:space="preserve">5</w:t>
            </w:r>
          </w:p>
        </w:tc>
        <w:tc>
          <w:tcPr>
            <w:tcW w:w="2948" w:type="dxa"/>
          </w:tcPr>
          <w:p>
            <w:pPr>
              <w:pStyle w:val="0"/>
              <w:jc w:val="both"/>
            </w:pPr>
            <w:r>
              <w:rPr>
                <w:sz w:val="24"/>
              </w:rPr>
              <w:t xml:space="preserve">Мультипликатор (при снижении гарантийного капитала РГО более чем на 5% в течение двух кварталов подряд применяются диапазоны значений, указанные в скобках)</w:t>
            </w:r>
          </w:p>
        </w:tc>
        <w:tc>
          <w:tcPr>
            <w:tcW w:w="1247" w:type="dxa"/>
          </w:tcPr>
          <w:p>
            <w:pPr>
              <w:pStyle w:val="0"/>
              <w:jc w:val="center"/>
            </w:pPr>
            <w:r>
              <w:rPr>
                <w:sz w:val="24"/>
              </w:rPr>
              <w:t xml:space="preserve">Ежеквартально</w:t>
            </w:r>
          </w:p>
        </w:tc>
        <w:tc>
          <w:tcPr>
            <w:tcW w:w="1492" w:type="dxa"/>
          </w:tcPr>
          <w:p>
            <w:pPr>
              <w:pStyle w:val="0"/>
              <w:jc w:val="center"/>
            </w:pP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5</w:t>
            </w:r>
          </w:p>
        </w:tc>
        <w:tc>
          <w:tcPr>
            <w:tcW w:w="1492" w:type="dxa"/>
          </w:tcPr>
          <w:p>
            <w:pPr>
              <w:pStyle w:val="0"/>
              <w:jc w:val="center"/>
            </w:pPr>
            <w:r>
              <w:rPr>
                <w:sz w:val="24"/>
              </w:rPr>
              <w:t xml:space="preserve">(5; 10]</w:t>
            </w:r>
          </w:p>
          <w:p>
            <w:pPr>
              <w:pStyle w:val="0"/>
              <w:jc w:val="center"/>
            </w:pPr>
            <w:r>
              <w:rPr>
                <w:sz w:val="24"/>
              </w:rPr>
              <w:t xml:space="preserve">((5; 8])</w:t>
            </w:r>
          </w:p>
        </w:tc>
        <w:tc>
          <w:tcPr>
            <w:tcW w:w="1492" w:type="dxa"/>
          </w:tcPr>
          <w:p>
            <w:pPr>
              <w:pStyle w:val="0"/>
              <w:jc w:val="center"/>
            </w:pPr>
            <w:r>
              <w:rPr>
                <w:sz w:val="24"/>
              </w:rPr>
              <w:t xml:space="preserve">&gt; 10</w:t>
            </w:r>
          </w:p>
          <w:p>
            <w:pPr>
              <w:pStyle w:val="0"/>
              <w:jc w:val="center"/>
            </w:pPr>
            <w:r>
              <w:rPr>
                <w:sz w:val="24"/>
              </w:rPr>
              <w:t xml:space="preserve">(&gt; 8)</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28.11.2016 N 763</w:t>
            <w:br/>
            <w:t>(ред. от 17.06.2025)</w:t>
            <w:br/>
            <w:t>"Об утверждении требований к фондам содействия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10.12.2025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28.11.2016 N 763</w:t>
            <w:br/>
            <w:t>(ред. от 17.06.2025)</w:t>
            <w:br/>
            <w:t>"Об утверждении требований к фондам содействия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86370&amp;date=10.12.2025&amp;dst=100006&amp;field=134" TargetMode = "External"/><Relationship Id="rId9" Type="http://schemas.openxmlformats.org/officeDocument/2006/relationships/hyperlink" Target="https://login.consultant.ru/link/?req=doc&amp;base=LAW&amp;n=507063&amp;date=10.12.2025&amp;dst=100011&amp;field=134" TargetMode = "External"/><Relationship Id="rId10" Type="http://schemas.openxmlformats.org/officeDocument/2006/relationships/hyperlink" Target="https://login.consultant.ru/link/?req=doc&amp;base=LAW&amp;n=406085&amp;date=10.12.2025&amp;dst=100010&amp;field=134" TargetMode = "External"/><Relationship Id="rId11" Type="http://schemas.openxmlformats.org/officeDocument/2006/relationships/hyperlink" Target="https://login.consultant.ru/link/?req=doc&amp;base=LAW&amp;n=384683&amp;date=10.12.2025&amp;dst=100006&amp;field=134" TargetMode = "External"/><Relationship Id="rId12" Type="http://schemas.openxmlformats.org/officeDocument/2006/relationships/hyperlink" Target="https://login.consultant.ru/link/?req=doc&amp;base=LAW&amp;n=384685&amp;date=10.12.2025&amp;dst=100006&amp;field=134" TargetMode = "External"/><Relationship Id="rId13" Type="http://schemas.openxmlformats.org/officeDocument/2006/relationships/hyperlink" Target="https://login.consultant.ru/link/?req=doc&amp;base=LAW&amp;n=399668&amp;date=10.12.2025&amp;dst=100006&amp;field=134" TargetMode = "External"/><Relationship Id="rId14" Type="http://schemas.openxmlformats.org/officeDocument/2006/relationships/hyperlink" Target="https://login.consultant.ru/link/?req=doc&amp;base=LAW&amp;n=433133&amp;date=10.12.2025&amp;dst=100006&amp;field=134" TargetMode = "External"/><Relationship Id="rId15" Type="http://schemas.openxmlformats.org/officeDocument/2006/relationships/hyperlink" Target="https://login.consultant.ru/link/?req=doc&amp;base=LAW&amp;n=484878&amp;date=10.12.2025&amp;dst=100006&amp;field=134" TargetMode = "External"/><Relationship Id="rId16" Type="http://schemas.openxmlformats.org/officeDocument/2006/relationships/hyperlink" Target="https://login.consultant.ru/link/?req=doc&amp;base=LAW&amp;n=513748&amp;date=10.12.2025&amp;dst=100006&amp;field=134" TargetMode = "External"/><Relationship Id="rId17" Type="http://schemas.openxmlformats.org/officeDocument/2006/relationships/hyperlink" Target="https://login.consultant.ru/link/?req=doc&amp;base=LAW&amp;n=511232&amp;date=10.12.2025&amp;dst=91&amp;field=134" TargetMode = "External"/><Relationship Id="rId18" Type="http://schemas.openxmlformats.org/officeDocument/2006/relationships/hyperlink" Target="https://login.consultant.ru/link/?req=doc&amp;base=LAW&amp;n=518935&amp;date=10.12.2025&amp;dst=100026&amp;field=134" TargetMode = "External"/><Relationship Id="rId19" Type="http://schemas.openxmlformats.org/officeDocument/2006/relationships/hyperlink" Target="https://login.consultant.ru/link/?req=doc&amp;base=LAW&amp;n=406085&amp;date=10.12.2025&amp;dst=100010&amp;field=134" TargetMode = "External"/><Relationship Id="rId20" Type="http://schemas.openxmlformats.org/officeDocument/2006/relationships/hyperlink" Target="https://login.consultant.ru/link/?req=doc&amp;base=LAW&amp;n=479939&amp;date=10.12.2025&amp;dst=100010&amp;field=134" TargetMode = "External"/><Relationship Id="rId21" Type="http://schemas.openxmlformats.org/officeDocument/2006/relationships/hyperlink" Target="https://login.consultant.ru/link/?req=doc&amp;base=LAW&amp;n=384685&amp;date=10.12.2025&amp;dst=100012&amp;field=134" TargetMode = "External"/><Relationship Id="rId22" Type="http://schemas.openxmlformats.org/officeDocument/2006/relationships/hyperlink" Target="https://login.consultant.ru/link/?req=doc&amp;base=LAW&amp;n=286370&amp;date=10.12.2025&amp;dst=100006&amp;field=134" TargetMode = "External"/><Relationship Id="rId23" Type="http://schemas.openxmlformats.org/officeDocument/2006/relationships/hyperlink" Target="https://login.consultant.ru/link/?req=doc&amp;base=LAW&amp;n=507063&amp;date=10.12.2025&amp;dst=100011&amp;field=134" TargetMode = "External"/><Relationship Id="rId24" Type="http://schemas.openxmlformats.org/officeDocument/2006/relationships/hyperlink" Target="https://login.consultant.ru/link/?req=doc&amp;base=LAW&amp;n=384683&amp;date=10.12.2025&amp;dst=100006&amp;field=134" TargetMode = "External"/><Relationship Id="rId25" Type="http://schemas.openxmlformats.org/officeDocument/2006/relationships/hyperlink" Target="https://login.consultant.ru/link/?req=doc&amp;base=LAW&amp;n=384685&amp;date=10.12.2025&amp;dst=100014&amp;field=134" TargetMode = "External"/><Relationship Id="rId26" Type="http://schemas.openxmlformats.org/officeDocument/2006/relationships/hyperlink" Target="https://login.consultant.ru/link/?req=doc&amp;base=LAW&amp;n=399668&amp;date=10.12.2025&amp;dst=100006&amp;field=134" TargetMode = "External"/><Relationship Id="rId27" Type="http://schemas.openxmlformats.org/officeDocument/2006/relationships/hyperlink" Target="https://login.consultant.ru/link/?req=doc&amp;base=LAW&amp;n=433133&amp;date=10.12.2025&amp;dst=100006&amp;field=134" TargetMode = "External"/><Relationship Id="rId28" Type="http://schemas.openxmlformats.org/officeDocument/2006/relationships/hyperlink" Target="https://login.consultant.ru/link/?req=doc&amp;base=LAW&amp;n=484878&amp;date=10.12.2025&amp;dst=100006&amp;field=134" TargetMode = "External"/><Relationship Id="rId29" Type="http://schemas.openxmlformats.org/officeDocument/2006/relationships/hyperlink" Target="https://login.consultant.ru/link/?req=doc&amp;base=LAW&amp;n=513748&amp;date=10.12.2025&amp;dst=100006&amp;field=134" TargetMode = "External"/><Relationship Id="rId30" Type="http://schemas.openxmlformats.org/officeDocument/2006/relationships/hyperlink" Target="https://login.consultant.ru/link/?req=doc&amp;base=LAW&amp;n=511232&amp;date=10.12.2025&amp;dst=91&amp;field=134" TargetMode = "External"/><Relationship Id="rId31" Type="http://schemas.openxmlformats.org/officeDocument/2006/relationships/hyperlink" Target="https://login.consultant.ru/link/?req=doc&amp;base=LAW&amp;n=384685&amp;date=10.12.2025&amp;dst=100015&amp;field=134" TargetMode = "External"/><Relationship Id="rId32" Type="http://schemas.openxmlformats.org/officeDocument/2006/relationships/hyperlink" Target="https://login.consultant.ru/link/?req=doc&amp;base=LAW&amp;n=399668&amp;date=10.12.2025&amp;dst=100011&amp;field=134" TargetMode = "External"/><Relationship Id="rId33" Type="http://schemas.openxmlformats.org/officeDocument/2006/relationships/hyperlink" Target="https://login.consultant.ru/link/?req=doc&amp;base=LAW&amp;n=484878&amp;date=10.12.2025&amp;dst=100011&amp;field=134" TargetMode = "External"/><Relationship Id="rId34" Type="http://schemas.openxmlformats.org/officeDocument/2006/relationships/hyperlink" Target="https://login.consultant.ru/link/?req=doc&amp;base=LAW&amp;n=399668&amp;date=10.12.2025&amp;dst=100012&amp;field=134" TargetMode = "External"/><Relationship Id="rId35" Type="http://schemas.openxmlformats.org/officeDocument/2006/relationships/hyperlink" Target="https://login.consultant.ru/link/?req=doc&amp;base=LAW&amp;n=484878&amp;date=10.12.2025&amp;dst=100012&amp;field=134" TargetMode = "External"/><Relationship Id="rId36" Type="http://schemas.openxmlformats.org/officeDocument/2006/relationships/hyperlink" Target="https://login.consultant.ru/link/?req=doc&amp;base=LAW&amp;n=384683&amp;date=10.12.2025&amp;dst=100011&amp;field=134" TargetMode = "External"/><Relationship Id="rId37" Type="http://schemas.openxmlformats.org/officeDocument/2006/relationships/hyperlink" Target="https://login.consultant.ru/link/?req=doc&amp;base=LAW&amp;n=384683&amp;date=10.12.2025&amp;dst=100015&amp;field=134" TargetMode = "External"/><Relationship Id="rId38" Type="http://schemas.openxmlformats.org/officeDocument/2006/relationships/hyperlink" Target="https://login.consultant.ru/link/?req=doc&amp;base=LAW&amp;n=384685&amp;date=10.12.2025&amp;dst=100019&amp;field=134" TargetMode = "External"/><Relationship Id="rId39" Type="http://schemas.openxmlformats.org/officeDocument/2006/relationships/hyperlink" Target="https://login.consultant.ru/link/?req=doc&amp;base=LAW&amp;n=384685&amp;date=10.12.2025&amp;dst=100020&amp;field=134" TargetMode = "External"/><Relationship Id="rId40" Type="http://schemas.openxmlformats.org/officeDocument/2006/relationships/hyperlink" Target="https://login.consultant.ru/link/?req=doc&amp;base=LAW&amp;n=384685&amp;date=10.12.2025&amp;dst=100021&amp;field=134" TargetMode = "External"/><Relationship Id="rId41" Type="http://schemas.openxmlformats.org/officeDocument/2006/relationships/hyperlink" Target="https://login.consultant.ru/link/?req=doc&amp;base=LAW&amp;n=384685&amp;date=10.12.2025&amp;dst=100023&amp;field=134" TargetMode = "External"/><Relationship Id="rId42" Type="http://schemas.openxmlformats.org/officeDocument/2006/relationships/hyperlink" Target="https://login.consultant.ru/link/?req=doc&amp;base=LAW&amp;n=483052&amp;date=10.12.2025" TargetMode = "External"/><Relationship Id="rId43" Type="http://schemas.openxmlformats.org/officeDocument/2006/relationships/hyperlink" Target="https://login.consultant.ru/link/?req=doc&amp;base=LAW&amp;n=494990&amp;date=10.12.2025" TargetMode = "External"/><Relationship Id="rId44" Type="http://schemas.openxmlformats.org/officeDocument/2006/relationships/hyperlink" Target="https://login.consultant.ru/link/?req=doc&amp;base=LAW&amp;n=384685&amp;date=10.12.2025&amp;dst=100024&amp;field=134" TargetMode = "External"/><Relationship Id="rId45" Type="http://schemas.openxmlformats.org/officeDocument/2006/relationships/hyperlink" Target="https://login.consultant.ru/link/?req=doc&amp;base=LAW&amp;n=384685&amp;date=10.12.2025&amp;dst=100024&amp;field=134" TargetMode = "External"/><Relationship Id="rId46" Type="http://schemas.openxmlformats.org/officeDocument/2006/relationships/hyperlink" Target="https://login.consultant.ru/link/?req=doc&amp;base=LAW&amp;n=399668&amp;date=10.12.2025&amp;dst=100013&amp;field=134" TargetMode = "External"/><Relationship Id="rId47" Type="http://schemas.openxmlformats.org/officeDocument/2006/relationships/hyperlink" Target="https://login.consultant.ru/link/?req=doc&amp;base=LAW&amp;n=477377&amp;date=10.12.2025" TargetMode = "External"/><Relationship Id="rId48" Type="http://schemas.openxmlformats.org/officeDocument/2006/relationships/hyperlink" Target="https://login.consultant.ru/link/?req=doc&amp;base=LAW&amp;n=384683&amp;date=10.12.2025&amp;dst=100018&amp;field=134" TargetMode = "External"/><Relationship Id="rId49" Type="http://schemas.openxmlformats.org/officeDocument/2006/relationships/hyperlink" Target="https://login.consultant.ru/link/?req=doc&amp;base=LAW&amp;n=286370&amp;date=10.12.2025&amp;dst=100010&amp;field=134" TargetMode = "External"/><Relationship Id="rId50" Type="http://schemas.openxmlformats.org/officeDocument/2006/relationships/hyperlink" Target="https://login.consultant.ru/link/?req=doc&amp;base=LAW&amp;n=286370&amp;date=10.12.2025&amp;dst=100014&amp;field=134" TargetMode = "External"/><Relationship Id="rId51" Type="http://schemas.openxmlformats.org/officeDocument/2006/relationships/hyperlink" Target="https://login.consultant.ru/link/?req=doc&amp;base=LAW&amp;n=399668&amp;date=10.12.2025&amp;dst=100014&amp;field=134" TargetMode = "External"/><Relationship Id="rId52" Type="http://schemas.openxmlformats.org/officeDocument/2006/relationships/hyperlink" Target="https://login.consultant.ru/link/?req=doc&amp;base=LAW&amp;n=399668&amp;date=10.12.2025&amp;dst=100015&amp;field=134" TargetMode = "External"/><Relationship Id="rId53" Type="http://schemas.openxmlformats.org/officeDocument/2006/relationships/hyperlink" Target="https://login.consultant.ru/link/?req=doc&amp;base=LAW&amp;n=286370&amp;date=10.12.2025&amp;dst=100018&amp;field=134" TargetMode = "External"/><Relationship Id="rId54" Type="http://schemas.openxmlformats.org/officeDocument/2006/relationships/hyperlink" Target="https://login.consultant.ru/link/?req=doc&amp;base=LAW&amp;n=511232&amp;date=10.12.2025&amp;dst=296&amp;field=134" TargetMode = "External"/><Relationship Id="rId55" Type="http://schemas.openxmlformats.org/officeDocument/2006/relationships/hyperlink" Target="https://login.consultant.ru/link/?req=doc&amp;base=LAW&amp;n=384685&amp;date=10.12.2025&amp;dst=100025&amp;field=134" TargetMode = "External"/><Relationship Id="rId56" Type="http://schemas.openxmlformats.org/officeDocument/2006/relationships/hyperlink" Target="https://login.consultant.ru/link/?req=doc&amp;base=LAW&amp;n=513748&amp;date=10.12.2025&amp;dst=100010&amp;field=134" TargetMode = "External"/><Relationship Id="rId57" Type="http://schemas.openxmlformats.org/officeDocument/2006/relationships/hyperlink" Target="https://login.consultant.ru/link/?req=doc&amp;base=LAW&amp;n=513748&amp;date=10.12.2025&amp;dst=100011&amp;field=134" TargetMode = "External"/><Relationship Id="rId58" Type="http://schemas.openxmlformats.org/officeDocument/2006/relationships/hyperlink" Target="https://login.consultant.ru/link/?req=doc&amp;base=LAW&amp;n=513748&amp;date=10.12.2025&amp;dst=100013&amp;field=134" TargetMode = "External"/><Relationship Id="rId59" Type="http://schemas.openxmlformats.org/officeDocument/2006/relationships/hyperlink" Target="https://login.consultant.ru/link/?req=doc&amp;base=LAW&amp;n=513748&amp;date=10.12.2025&amp;dst=100014&amp;field=134" TargetMode = "External"/><Relationship Id="rId60" Type="http://schemas.openxmlformats.org/officeDocument/2006/relationships/hyperlink" Target="https://login.consultant.ru/link/?req=doc&amp;base=LAW&amp;n=513748&amp;date=10.12.2025&amp;dst=100020&amp;field=134" TargetMode = "External"/><Relationship Id="rId61" Type="http://schemas.openxmlformats.org/officeDocument/2006/relationships/hyperlink" Target="https://login.consultant.ru/link/?req=doc&amp;base=LAW&amp;n=384685&amp;date=10.12.2025&amp;dst=100027&amp;field=134" TargetMode = "External"/><Relationship Id="rId62" Type="http://schemas.openxmlformats.org/officeDocument/2006/relationships/hyperlink" Target="https://login.consultant.ru/link/?req=doc&amp;base=LAW&amp;n=286370&amp;date=10.12.2025&amp;dst=100019&amp;field=134" TargetMode = "External"/><Relationship Id="rId63" Type="http://schemas.openxmlformats.org/officeDocument/2006/relationships/hyperlink" Target="https://login.consultant.ru/link/?req=doc&amp;base=LAW&amp;n=384685&amp;date=10.12.2025&amp;dst=100028&amp;field=134" TargetMode = "External"/><Relationship Id="rId64" Type="http://schemas.openxmlformats.org/officeDocument/2006/relationships/hyperlink" Target="https://login.consultant.ru/link/?req=doc&amp;base=LAW&amp;n=433133&amp;date=10.12.2025&amp;dst=100011&amp;field=134" TargetMode = "External"/><Relationship Id="rId65" Type="http://schemas.openxmlformats.org/officeDocument/2006/relationships/hyperlink" Target="https://login.consultant.ru/link/?req=doc&amp;base=LAW&amp;n=433133&amp;date=10.12.2025&amp;dst=100012&amp;field=134" TargetMode = "External"/><Relationship Id="rId66" Type="http://schemas.openxmlformats.org/officeDocument/2006/relationships/hyperlink" Target="https://login.consultant.ru/link/?req=doc&amp;base=LAW&amp;n=286370&amp;date=10.12.2025&amp;dst=100020&amp;field=134" TargetMode = "External"/><Relationship Id="rId67" Type="http://schemas.openxmlformats.org/officeDocument/2006/relationships/hyperlink" Target="https://login.consultant.ru/link/?req=doc&amp;base=LAW&amp;n=384685&amp;date=10.12.2025&amp;dst=100028&amp;field=134" TargetMode = "External"/><Relationship Id="rId68" Type="http://schemas.openxmlformats.org/officeDocument/2006/relationships/hyperlink" Target="https://login.consultant.ru/link/?req=doc&amp;base=LAW&amp;n=399668&amp;date=10.12.2025&amp;dst=100017&amp;field=134" TargetMode = "External"/><Relationship Id="rId69" Type="http://schemas.openxmlformats.org/officeDocument/2006/relationships/hyperlink" Target="https://login.consultant.ru/link/?req=doc&amp;base=LAW&amp;n=384685&amp;date=10.12.2025&amp;dst=100028&amp;field=134" TargetMode = "External"/><Relationship Id="rId70" Type="http://schemas.openxmlformats.org/officeDocument/2006/relationships/hyperlink" Target="https://login.consultant.ru/link/?req=doc&amp;base=LAW&amp;n=384685&amp;date=10.12.2025&amp;dst=100028&amp;field=134" TargetMode = "External"/><Relationship Id="rId71" Type="http://schemas.openxmlformats.org/officeDocument/2006/relationships/hyperlink" Target="https://login.consultant.ru/link/?req=doc&amp;base=LAW&amp;n=384683&amp;date=10.12.2025&amp;dst=100020&amp;field=134" TargetMode = "External"/><Relationship Id="rId72" Type="http://schemas.openxmlformats.org/officeDocument/2006/relationships/hyperlink" Target="https://login.consultant.ru/link/?req=doc&amp;base=LAW&amp;n=384685&amp;date=10.12.2025&amp;dst=100028&amp;field=134" TargetMode = "External"/><Relationship Id="rId73" Type="http://schemas.openxmlformats.org/officeDocument/2006/relationships/hyperlink" Target="https://login.consultant.ru/link/?req=doc&amp;base=LAW&amp;n=483052&amp;date=10.12.2025" TargetMode = "External"/><Relationship Id="rId74" Type="http://schemas.openxmlformats.org/officeDocument/2006/relationships/hyperlink" Target="https://login.consultant.ru/link/?req=doc&amp;base=LAW&amp;n=494990&amp;date=10.12.2025" TargetMode = "External"/><Relationship Id="rId75" Type="http://schemas.openxmlformats.org/officeDocument/2006/relationships/hyperlink" Target="https://login.consultant.ru/link/?req=doc&amp;base=LAW&amp;n=286370&amp;date=10.12.2025&amp;dst=100024&amp;field=134" TargetMode = "External"/><Relationship Id="rId76" Type="http://schemas.openxmlformats.org/officeDocument/2006/relationships/hyperlink" Target="https://login.consultant.ru/link/?req=doc&amp;base=LAW&amp;n=384685&amp;date=10.12.2025&amp;dst=100029&amp;field=134" TargetMode = "External"/><Relationship Id="rId77" Type="http://schemas.openxmlformats.org/officeDocument/2006/relationships/hyperlink" Target="https://login.consultant.ru/link/?req=doc&amp;base=LAW&amp;n=384683&amp;date=10.12.2025&amp;dst=100022&amp;field=134" TargetMode = "External"/><Relationship Id="rId78" Type="http://schemas.openxmlformats.org/officeDocument/2006/relationships/hyperlink" Target="https://login.consultant.ru/link/?req=doc&amp;base=LAW&amp;n=384685&amp;date=10.12.2025&amp;dst=100030&amp;field=134" TargetMode = "External"/><Relationship Id="rId79" Type="http://schemas.openxmlformats.org/officeDocument/2006/relationships/hyperlink" Target="https://login.consultant.ru/link/?req=doc&amp;base=LAW&amp;n=384683&amp;date=10.12.2025&amp;dst=100024&amp;field=134" TargetMode = "External"/><Relationship Id="rId80" Type="http://schemas.openxmlformats.org/officeDocument/2006/relationships/hyperlink" Target="https://login.consultant.ru/link/?req=doc&amp;base=LAW&amp;n=484878&amp;date=10.12.2025&amp;dst=100013&amp;field=134" TargetMode = "External"/><Relationship Id="rId81" Type="http://schemas.openxmlformats.org/officeDocument/2006/relationships/hyperlink" Target="https://login.consultant.ru/link/?req=doc&amp;base=LAW&amp;n=511232&amp;date=10.12.2025&amp;dst=89&amp;field=134" TargetMode = "External"/><Relationship Id="rId82" Type="http://schemas.openxmlformats.org/officeDocument/2006/relationships/hyperlink" Target="https://login.consultant.ru/link/?req=doc&amp;base=LAW&amp;n=499494&amp;date=10.12.2025" TargetMode = "External"/><Relationship Id="rId83" Type="http://schemas.openxmlformats.org/officeDocument/2006/relationships/hyperlink" Target="https://login.consultant.ru/link/?req=doc&amp;base=LAW&amp;n=384683&amp;date=10.12.2025&amp;dst=100025&amp;field=134" TargetMode = "External"/><Relationship Id="rId84" Type="http://schemas.openxmlformats.org/officeDocument/2006/relationships/hyperlink" Target="https://login.consultant.ru/link/?req=doc&amp;base=LAW&amp;n=484878&amp;date=10.12.2025&amp;dst=100014&amp;field=134" TargetMode = "External"/><Relationship Id="rId85" Type="http://schemas.openxmlformats.org/officeDocument/2006/relationships/hyperlink" Target="https://login.consultant.ru/link/?req=doc&amp;base=LAW&amp;n=384683&amp;date=10.12.2025&amp;dst=100027&amp;field=134" TargetMode = "External"/><Relationship Id="rId86" Type="http://schemas.openxmlformats.org/officeDocument/2006/relationships/hyperlink" Target="https://login.consultant.ru/link/?req=doc&amp;base=LAW&amp;n=484878&amp;date=10.12.2025&amp;dst=100016&amp;field=134" TargetMode = "External"/><Relationship Id="rId87" Type="http://schemas.openxmlformats.org/officeDocument/2006/relationships/hyperlink" Target="https://login.consultant.ru/link/?req=doc&amp;base=LAW&amp;n=494990&amp;date=10.12.2025" TargetMode = "External"/><Relationship Id="rId88" Type="http://schemas.openxmlformats.org/officeDocument/2006/relationships/hyperlink" Target="https://login.consultant.ru/link/?req=doc&amp;base=LAW&amp;n=286370&amp;date=10.12.2025&amp;dst=100026&amp;field=134" TargetMode = "External"/><Relationship Id="rId89" Type="http://schemas.openxmlformats.org/officeDocument/2006/relationships/hyperlink" Target="https://login.consultant.ru/link/?req=doc&amp;base=LAW&amp;n=384683&amp;date=10.12.2025&amp;dst=100028&amp;field=134" TargetMode = "External"/><Relationship Id="rId90" Type="http://schemas.openxmlformats.org/officeDocument/2006/relationships/hyperlink" Target="https://login.consultant.ru/link/?req=doc&amp;base=LAW&amp;n=484878&amp;date=10.12.2025&amp;dst=100017&amp;field=134" TargetMode = "External"/><Relationship Id="rId91" Type="http://schemas.openxmlformats.org/officeDocument/2006/relationships/hyperlink" Target="https://login.consultant.ru/link/?req=doc&amp;base=LAW&amp;n=494990&amp;date=10.12.2025&amp;dst=100335&amp;field=134" TargetMode = "External"/><Relationship Id="rId92" Type="http://schemas.openxmlformats.org/officeDocument/2006/relationships/hyperlink" Target="https://login.consultant.ru/link/?req=doc&amp;base=LAW&amp;n=499494&amp;date=10.12.2025&amp;dst=21&amp;field=134" TargetMode = "External"/><Relationship Id="rId93" Type="http://schemas.openxmlformats.org/officeDocument/2006/relationships/hyperlink" Target="https://login.consultant.ru/link/?req=doc&amp;base=LAW&amp;n=494990&amp;date=10.12.2025" TargetMode = "External"/><Relationship Id="rId94" Type="http://schemas.openxmlformats.org/officeDocument/2006/relationships/hyperlink" Target="https://login.consultant.ru/link/?req=doc&amp;base=LAW&amp;n=384683&amp;date=10.12.2025&amp;dst=100029&amp;field=134" TargetMode = "External"/><Relationship Id="rId95" Type="http://schemas.openxmlformats.org/officeDocument/2006/relationships/hyperlink" Target="https://login.consultant.ru/link/?req=doc&amp;base=LAW&amp;n=484878&amp;date=10.12.2025&amp;dst=100018&amp;field=134" TargetMode = "External"/><Relationship Id="rId96" Type="http://schemas.openxmlformats.org/officeDocument/2006/relationships/hyperlink" Target="https://login.consultant.ru/link/?req=doc&amp;base=LAW&amp;n=384683&amp;date=10.12.2025&amp;dst=100031&amp;field=134" TargetMode = "External"/><Relationship Id="rId97" Type="http://schemas.openxmlformats.org/officeDocument/2006/relationships/hyperlink" Target="https://login.consultant.ru/link/?req=doc&amp;base=LAW&amp;n=484878&amp;date=10.12.2025&amp;dst=100020&amp;field=134" TargetMode = "External"/><Relationship Id="rId98" Type="http://schemas.openxmlformats.org/officeDocument/2006/relationships/hyperlink" Target="https://login.consultant.ru/link/?req=doc&amp;base=LAW&amp;n=286370&amp;date=10.12.2025&amp;dst=100028&amp;field=134" TargetMode = "External"/><Relationship Id="rId99" Type="http://schemas.openxmlformats.org/officeDocument/2006/relationships/hyperlink" Target="https://login.consultant.ru/link/?req=doc&amp;base=LAW&amp;n=384683&amp;date=10.12.2025&amp;dst=100032&amp;field=134" TargetMode = "External"/><Relationship Id="rId100" Type="http://schemas.openxmlformats.org/officeDocument/2006/relationships/hyperlink" Target="https://login.consultant.ru/link/?req=doc&amp;base=LAW&amp;n=484878&amp;date=10.12.2025&amp;dst=100021&amp;field=134" TargetMode = "External"/><Relationship Id="rId101" Type="http://schemas.openxmlformats.org/officeDocument/2006/relationships/hyperlink" Target="https://login.consultant.ru/link/?req=doc&amp;base=LAW&amp;n=286370&amp;date=10.12.2025&amp;dst=100030&amp;field=134" TargetMode = "External"/><Relationship Id="rId102" Type="http://schemas.openxmlformats.org/officeDocument/2006/relationships/hyperlink" Target="https://login.consultant.ru/link/?req=doc&amp;base=LAW&amp;n=384683&amp;date=10.12.2025&amp;dst=100033&amp;field=134" TargetMode = "External"/><Relationship Id="rId103" Type="http://schemas.openxmlformats.org/officeDocument/2006/relationships/hyperlink" Target="https://login.consultant.ru/link/?req=doc&amp;base=LAW&amp;n=484878&amp;date=10.12.2025&amp;dst=100022&amp;field=134" TargetMode = "External"/><Relationship Id="rId104" Type="http://schemas.openxmlformats.org/officeDocument/2006/relationships/hyperlink" Target="https://login.consultant.ru/link/?req=doc&amp;base=LAW&amp;n=384683&amp;date=10.12.2025&amp;dst=100035&amp;field=134" TargetMode = "External"/><Relationship Id="rId105" Type="http://schemas.openxmlformats.org/officeDocument/2006/relationships/hyperlink" Target="https://login.consultant.ru/link/?req=doc&amp;base=LAW&amp;n=484878&amp;date=10.12.2025&amp;dst=100024&amp;field=134" TargetMode = "External"/><Relationship Id="rId106" Type="http://schemas.openxmlformats.org/officeDocument/2006/relationships/hyperlink" Target="https://login.consultant.ru/link/?req=doc&amp;base=LAW&amp;n=384683&amp;date=10.12.2025&amp;dst=100036&amp;field=134" TargetMode = "External"/><Relationship Id="rId107" Type="http://schemas.openxmlformats.org/officeDocument/2006/relationships/hyperlink" Target="https://login.consultant.ru/link/?req=doc&amp;base=LAW&amp;n=484878&amp;date=10.12.2025&amp;dst=100025&amp;field=134" TargetMode = "External"/><Relationship Id="rId108" Type="http://schemas.openxmlformats.org/officeDocument/2006/relationships/hyperlink" Target="https://login.consultant.ru/link/?req=doc&amp;base=LAW&amp;n=384683&amp;date=10.12.2025&amp;dst=100037&amp;field=134" TargetMode = "External"/><Relationship Id="rId109" Type="http://schemas.openxmlformats.org/officeDocument/2006/relationships/hyperlink" Target="https://login.consultant.ru/link/?req=doc&amp;base=LAW&amp;n=484878&amp;date=10.12.2025&amp;dst=100026&amp;field=134" TargetMode = "External"/><Relationship Id="rId110" Type="http://schemas.openxmlformats.org/officeDocument/2006/relationships/hyperlink" Target="https://login.consultant.ru/link/?req=doc&amp;base=LAW&amp;n=384685&amp;date=10.12.2025&amp;dst=100033&amp;field=134" TargetMode = "External"/><Relationship Id="rId111" Type="http://schemas.openxmlformats.org/officeDocument/2006/relationships/hyperlink" Target="https://login.consultant.ru/link/?req=doc&amp;base=LAW&amp;n=399668&amp;date=10.12.2025&amp;dst=100019&amp;field=134" TargetMode = "External"/><Relationship Id="rId112" Type="http://schemas.openxmlformats.org/officeDocument/2006/relationships/hyperlink" Target="https://login.consultant.ru/link/?req=doc&amp;base=LAW&amp;n=484878&amp;date=10.12.2025&amp;dst=100027&amp;field=134" TargetMode = "External"/><Relationship Id="rId113" Type="http://schemas.openxmlformats.org/officeDocument/2006/relationships/hyperlink" Target="https://login.consultant.ru/link/?req=doc&amp;base=LAW&amp;n=384685&amp;date=10.12.2025&amp;dst=100033&amp;field=134" TargetMode = "External"/><Relationship Id="rId114" Type="http://schemas.openxmlformats.org/officeDocument/2006/relationships/hyperlink" Target="https://login.consultant.ru/link/?req=doc&amp;base=LAW&amp;n=384685&amp;date=10.12.2025&amp;dst=100033&amp;field=134" TargetMode = "External"/><Relationship Id="rId115" Type="http://schemas.openxmlformats.org/officeDocument/2006/relationships/hyperlink" Target="https://login.consultant.ru/link/?req=doc&amp;base=LAW&amp;n=433133&amp;date=10.12.2025&amp;dst=100015&amp;field=134" TargetMode = "External"/><Relationship Id="rId116" Type="http://schemas.openxmlformats.org/officeDocument/2006/relationships/hyperlink" Target="https://login.consultant.ru/link/?req=doc&amp;base=LAW&amp;n=286370&amp;date=10.12.2025&amp;dst=100031&amp;field=134" TargetMode = "External"/><Relationship Id="rId117" Type="http://schemas.openxmlformats.org/officeDocument/2006/relationships/hyperlink" Target="https://login.consultant.ru/link/?req=doc&amp;base=LAW&amp;n=384685&amp;date=10.12.2025&amp;dst=100033&amp;field=134" TargetMode = "External"/><Relationship Id="rId118" Type="http://schemas.openxmlformats.org/officeDocument/2006/relationships/hyperlink" Target="https://login.consultant.ru/link/?req=doc&amp;base=LAW&amp;n=433133&amp;date=10.12.2025&amp;dst=100016&amp;field=134" TargetMode = "External"/><Relationship Id="rId119" Type="http://schemas.openxmlformats.org/officeDocument/2006/relationships/hyperlink" Target="https://login.consultant.ru/link/?req=doc&amp;base=LAW&amp;n=384685&amp;date=10.12.2025&amp;dst=100033&amp;field=134" TargetMode = "External"/><Relationship Id="rId120" Type="http://schemas.openxmlformats.org/officeDocument/2006/relationships/hyperlink" Target="https://login.consultant.ru/link/?req=doc&amp;base=LAW&amp;n=384685&amp;date=10.12.2025&amp;dst=100034&amp;field=134" TargetMode = "External"/><Relationship Id="rId121" Type="http://schemas.openxmlformats.org/officeDocument/2006/relationships/hyperlink" Target="https://login.consultant.ru/link/?req=doc&amp;base=LAW&amp;n=502327&amp;date=10.12.2025&amp;dst=429&amp;field=134" TargetMode = "External"/><Relationship Id="rId122" Type="http://schemas.openxmlformats.org/officeDocument/2006/relationships/hyperlink" Target="https://login.consultant.ru/link/?req=doc&amp;base=LAW&amp;n=433133&amp;date=10.12.2025&amp;dst=100019&amp;field=134" TargetMode = "External"/><Relationship Id="rId123" Type="http://schemas.openxmlformats.org/officeDocument/2006/relationships/hyperlink" Target="http://monitoring.corpmsp.ru" TargetMode = "External"/><Relationship Id="rId124" Type="http://schemas.openxmlformats.org/officeDocument/2006/relationships/hyperlink" Target="https://login.consultant.ru/link/?req=doc&amp;base=LAW&amp;n=384685&amp;date=10.12.2025&amp;dst=100035&amp;field=134" TargetMode = "External"/><Relationship Id="rId125" Type="http://schemas.openxmlformats.org/officeDocument/2006/relationships/hyperlink" Target="https://login.consultant.ru/link/?req=doc&amp;base=LAW&amp;n=384685&amp;date=10.12.2025&amp;dst=100036&amp;field=134" TargetMode = "External"/><Relationship Id="rId126" Type="http://schemas.openxmlformats.org/officeDocument/2006/relationships/hyperlink" Target="www.cbr.ru" TargetMode = "External"/><Relationship Id="rId127" Type="http://schemas.openxmlformats.org/officeDocument/2006/relationships/hyperlink" Target="https://login.consultant.ru/link/?req=doc&amp;base=LAW&amp;n=502327&amp;date=10.12.2025&amp;dst=214&amp;field=134" TargetMode = "External"/><Relationship Id="rId128" Type="http://schemas.openxmlformats.org/officeDocument/2006/relationships/hyperlink" Target="https://login.consultant.ru/link/?req=doc&amp;base=LAW&amp;n=286370&amp;date=10.12.2025&amp;dst=100032&amp;field=134" TargetMode = "External"/><Relationship Id="rId129" Type="http://schemas.openxmlformats.org/officeDocument/2006/relationships/hyperlink" Target="https://login.consultant.ru/link/?req=doc&amp;base=LAW&amp;n=384685&amp;date=10.12.2025&amp;dst=100037&amp;field=134" TargetMode = "External"/><Relationship Id="rId130" Type="http://schemas.openxmlformats.org/officeDocument/2006/relationships/hyperlink" Target="https://login.consultant.ru/link/?req=doc&amp;base=LAW&amp;n=286370&amp;date=10.12.2025&amp;dst=100034&amp;field=134" TargetMode = "External"/><Relationship Id="rId131" Type="http://schemas.openxmlformats.org/officeDocument/2006/relationships/hyperlink" Target="https://login.consultant.ru/link/?req=doc&amp;base=LAW&amp;n=286370&amp;date=10.12.2025&amp;dst=100036&amp;field=134" TargetMode = "External"/><Relationship Id="rId132" Type="http://schemas.openxmlformats.org/officeDocument/2006/relationships/hyperlink" Target="https://login.consultant.ru/link/?req=doc&amp;base=LAW&amp;n=384685&amp;date=10.12.2025&amp;dst=100037&amp;field=134" TargetMode = "External"/><Relationship Id="rId133" Type="http://schemas.openxmlformats.org/officeDocument/2006/relationships/hyperlink" Target="https://login.consultant.ru/link/?req=doc&amp;base=LAW&amp;n=286370&amp;date=10.12.2025&amp;dst=100038&amp;field=134" TargetMode = "External"/><Relationship Id="rId134" Type="http://schemas.openxmlformats.org/officeDocument/2006/relationships/hyperlink" Target="https://login.consultant.ru/link/?req=doc&amp;base=LAW&amp;n=384685&amp;date=10.12.2025&amp;dst=100038&amp;field=134" TargetMode = "External"/><Relationship Id="rId135" Type="http://schemas.openxmlformats.org/officeDocument/2006/relationships/hyperlink" Target="https://login.consultant.ru/link/?req=doc&amp;base=LAW&amp;n=513748&amp;date=10.12.2025&amp;dst=100024&amp;field=134" TargetMode = "External"/><Relationship Id="rId136" Type="http://schemas.openxmlformats.org/officeDocument/2006/relationships/hyperlink" Target="https://login.consultant.ru/link/?req=doc&amp;base=LAW&amp;n=399668&amp;date=10.12.2025&amp;dst=100021&amp;field=134" TargetMode = "External"/><Relationship Id="rId137" Type="http://schemas.openxmlformats.org/officeDocument/2006/relationships/hyperlink" Target="https://login.consultant.ru/link/?req=doc&amp;base=LAW&amp;n=384685&amp;date=10.12.2025&amp;dst=100039&amp;field=134" TargetMode = "External"/><Relationship Id="rId138" Type="http://schemas.openxmlformats.org/officeDocument/2006/relationships/hyperlink" Target="https://login.consultant.ru/link/?req=doc&amp;base=LAW&amp;n=513748&amp;date=10.12.2025&amp;dst=100026&amp;field=134" TargetMode = "External"/><Relationship Id="rId139" Type="http://schemas.openxmlformats.org/officeDocument/2006/relationships/hyperlink" Target="https://login.consultant.ru/link/?req=doc&amp;base=LAW&amp;n=433133&amp;date=10.12.2025&amp;dst=100024&amp;field=134" TargetMode = "External"/><Relationship Id="rId140" Type="http://schemas.openxmlformats.org/officeDocument/2006/relationships/hyperlink" Target="https://login.consultant.ru/link/?req=doc&amp;base=LAW&amp;n=384683&amp;date=10.12.2025&amp;dst=100038&amp;field=134" TargetMode = "External"/><Relationship Id="rId141" Type="http://schemas.openxmlformats.org/officeDocument/2006/relationships/hyperlink" Target="https://login.consultant.ru/link/?req=doc&amp;base=LAW&amp;n=384685&amp;date=10.12.2025&amp;dst=100041&amp;field=134" TargetMode = "External"/><Relationship Id="rId142" Type="http://schemas.openxmlformats.org/officeDocument/2006/relationships/hyperlink" Target="https://login.consultant.ru/link/?req=doc&amp;base=LAW&amp;n=384683&amp;date=10.12.2025&amp;dst=100044&amp;field=134" TargetMode = "External"/><Relationship Id="rId143" Type="http://schemas.openxmlformats.org/officeDocument/2006/relationships/hyperlink" Target="https://login.consultant.ru/link/?req=doc&amp;base=LAW&amp;n=384685&amp;date=10.12.2025&amp;dst=100042&amp;field=134" TargetMode = "External"/><Relationship Id="rId144" Type="http://schemas.openxmlformats.org/officeDocument/2006/relationships/hyperlink" Target="https://login.consultant.ru/link/?req=doc&amp;base=LAW&amp;n=384685&amp;date=10.12.2025&amp;dst=100043&amp;field=134" TargetMode = "External"/><Relationship Id="rId145" Type="http://schemas.openxmlformats.org/officeDocument/2006/relationships/hyperlink" Target="https://login.consultant.ru/link/?req=doc&amp;base=LAW&amp;n=384683&amp;date=10.12.2025&amp;dst=100045&amp;field=134" TargetMode = "External"/><Relationship Id="rId146" Type="http://schemas.openxmlformats.org/officeDocument/2006/relationships/hyperlink" Target="https://login.consultant.ru/link/?req=doc&amp;base=LAW&amp;n=286370&amp;date=10.12.2025&amp;dst=100039&amp;field=134" TargetMode = "External"/><Relationship Id="rId147" Type="http://schemas.openxmlformats.org/officeDocument/2006/relationships/hyperlink" Target="https://login.consultant.ru/link/?req=doc&amp;base=LAW&amp;n=433133&amp;date=10.12.2025&amp;dst=100026&amp;field=134" TargetMode = "External"/><Relationship Id="rId148" Type="http://schemas.openxmlformats.org/officeDocument/2006/relationships/hyperlink" Target="https://login.consultant.ru/link/?req=doc&amp;base=LAW&amp;n=433133&amp;date=10.12.2025&amp;dst=100027&amp;field=134" TargetMode = "External"/><Relationship Id="rId149" Type="http://schemas.openxmlformats.org/officeDocument/2006/relationships/hyperlink" Target="https://login.consultant.ru/link/?req=doc&amp;base=LAW&amp;n=428404&amp;date=10.12.2025" TargetMode = "External"/><Relationship Id="rId150" Type="http://schemas.openxmlformats.org/officeDocument/2006/relationships/hyperlink" Target="https://login.consultant.ru/link/?req=doc&amp;base=LAW&amp;n=484878&amp;date=10.12.2025&amp;dst=100029&amp;field=134" TargetMode = "External"/><Relationship Id="rId151" Type="http://schemas.openxmlformats.org/officeDocument/2006/relationships/hyperlink" Target="https://login.consultant.ru/link/?req=doc&amp;base=LAW&amp;n=484878&amp;date=10.12.2025&amp;dst=100031&amp;field=134" TargetMode = "External"/><Relationship Id="rId152" Type="http://schemas.openxmlformats.org/officeDocument/2006/relationships/hyperlink" Target="https://login.consultant.ru/link/?req=doc&amp;base=LAW&amp;n=286370&amp;date=10.12.2025&amp;dst=100040&amp;field=134" TargetMode = "External"/><Relationship Id="rId153" Type="http://schemas.openxmlformats.org/officeDocument/2006/relationships/hyperlink" Target="https://login.consultant.ru/link/?req=doc&amp;base=LAW&amp;n=433133&amp;date=10.12.2025&amp;dst=100028&amp;field=134" TargetMode = "External"/><Relationship Id="rId154" Type="http://schemas.openxmlformats.org/officeDocument/2006/relationships/hyperlink" Target="https://login.consultant.ru/link/?req=doc&amp;base=LAW&amp;n=484878&amp;date=10.12.2025&amp;dst=100033&amp;field=134" TargetMode = "External"/><Relationship Id="rId155" Type="http://schemas.openxmlformats.org/officeDocument/2006/relationships/hyperlink" Target="https://login.consultant.ru/link/?req=doc&amp;base=LAW&amp;n=384685&amp;date=10.12.2025&amp;dst=100044&amp;field=134" TargetMode = "External"/><Relationship Id="rId156" Type="http://schemas.openxmlformats.org/officeDocument/2006/relationships/hyperlink" Target="https://login.consultant.ru/link/?req=doc&amp;base=LAW&amp;n=384685&amp;date=10.12.2025&amp;dst=100045&amp;field=134" TargetMode = "External"/><Relationship Id="rId157" Type="http://schemas.openxmlformats.org/officeDocument/2006/relationships/hyperlink" Target="https://login.consultant.ru/link/?req=doc&amp;base=LAW&amp;n=399668&amp;date=10.12.2025&amp;dst=100022&amp;field=134" TargetMode = "External"/><Relationship Id="rId158" Type="http://schemas.openxmlformats.org/officeDocument/2006/relationships/hyperlink" Target="https://login.consultant.ru/link/?req=doc&amp;base=LAW&amp;n=384685&amp;date=10.12.2025&amp;dst=100048&amp;field=134" TargetMode = "External"/><Relationship Id="rId159" Type="http://schemas.openxmlformats.org/officeDocument/2006/relationships/hyperlink" Target="https://login.consultant.ru/link/?req=doc&amp;base=LAW&amp;n=384685&amp;date=10.12.2025&amp;dst=100049&amp;field=134" TargetMode = "External"/><Relationship Id="rId160" Type="http://schemas.openxmlformats.org/officeDocument/2006/relationships/hyperlink" Target="https://login.consultant.ru/link/?req=doc&amp;base=LAW&amp;n=286370&amp;date=10.12.2025&amp;dst=100042&amp;field=134" TargetMode = "External"/><Relationship Id="rId161" Type="http://schemas.openxmlformats.org/officeDocument/2006/relationships/hyperlink" Target="https://login.consultant.ru/link/?req=doc&amp;base=LAW&amp;n=384685&amp;date=10.12.2025&amp;dst=100050&amp;field=134" TargetMode = "External"/><Relationship Id="rId162" Type="http://schemas.openxmlformats.org/officeDocument/2006/relationships/hyperlink" Target="https://login.consultant.ru/link/?req=doc&amp;base=LAW&amp;n=384683&amp;date=10.12.2025&amp;dst=100047&amp;field=134" TargetMode = "External"/><Relationship Id="rId163" Type="http://schemas.openxmlformats.org/officeDocument/2006/relationships/hyperlink" Target="https://login.consultant.ru/link/?req=doc&amp;base=LAW&amp;n=384685&amp;date=10.12.2025&amp;dst=100051&amp;field=134" TargetMode = "External"/><Relationship Id="rId164" Type="http://schemas.openxmlformats.org/officeDocument/2006/relationships/hyperlink" Target="https://login.consultant.ru/link/?req=doc&amp;base=LAW&amp;n=384685&amp;date=10.12.2025&amp;dst=100054&amp;field=134" TargetMode = "External"/><Relationship Id="rId165" Type="http://schemas.openxmlformats.org/officeDocument/2006/relationships/hyperlink" Target="https://login.consultant.ru/link/?req=doc&amp;base=LAW&amp;n=513748&amp;date=10.12.2025&amp;dst=100027&amp;field=134" TargetMode = "External"/><Relationship Id="rId166" Type="http://schemas.openxmlformats.org/officeDocument/2006/relationships/hyperlink" Target="https://login.consultant.ru/link/?req=doc&amp;base=LAW&amp;n=286370&amp;date=10.12.2025&amp;dst=100043&amp;field=134" TargetMode = "External"/><Relationship Id="rId167" Type="http://schemas.openxmlformats.org/officeDocument/2006/relationships/hyperlink" Target="https://login.consultant.ru/link/?req=doc&amp;base=LAW&amp;n=433133&amp;date=10.12.2025&amp;dst=100031&amp;field=134" TargetMode = "External"/><Relationship Id="rId168" Type="http://schemas.openxmlformats.org/officeDocument/2006/relationships/hyperlink" Target="https://login.consultant.ru/link/?req=doc&amp;base=LAW&amp;n=399668&amp;date=10.12.2025&amp;dst=100024&amp;field=134" TargetMode = "External"/><Relationship Id="rId169" Type="http://schemas.openxmlformats.org/officeDocument/2006/relationships/hyperlink" Target="https://login.consultant.ru/link/?req=doc&amp;base=LAW&amp;n=433133&amp;date=10.12.2025&amp;dst=100032&amp;field=134" TargetMode = "External"/><Relationship Id="rId170" Type="http://schemas.openxmlformats.org/officeDocument/2006/relationships/hyperlink" Target="https://login.consultant.ru/link/?req=doc&amp;base=LAW&amp;n=384685&amp;date=10.12.2025&amp;dst=100056&amp;field=134" TargetMode = "External"/><Relationship Id="rId171" Type="http://schemas.openxmlformats.org/officeDocument/2006/relationships/hyperlink" Target="https://login.consultant.ru/link/?req=doc&amp;base=LAW&amp;n=286370&amp;date=10.12.2025&amp;dst=100044&amp;field=134" TargetMode = "External"/><Relationship Id="rId172" Type="http://schemas.openxmlformats.org/officeDocument/2006/relationships/hyperlink" Target="www.cbr.ru" TargetMode = "External"/><Relationship Id="rId173" Type="http://schemas.openxmlformats.org/officeDocument/2006/relationships/hyperlink" Target="https://login.consultant.ru/link/?req=doc&amp;base=LAW&amp;n=502327&amp;date=10.12.2025&amp;dst=424&amp;field=134" TargetMode = "External"/><Relationship Id="rId174" Type="http://schemas.openxmlformats.org/officeDocument/2006/relationships/hyperlink" Target="https://login.consultant.ru/link/?req=doc&amp;base=LAW&amp;n=433133&amp;date=10.12.2025&amp;dst=100033&amp;field=134" TargetMode = "External"/><Relationship Id="rId175" Type="http://schemas.openxmlformats.org/officeDocument/2006/relationships/hyperlink" Target="https://login.consultant.ru/link/?req=doc&amp;base=LAW&amp;n=513748&amp;date=10.12.2025&amp;dst=100029&amp;field=134" TargetMode = "External"/><Relationship Id="rId176" Type="http://schemas.openxmlformats.org/officeDocument/2006/relationships/hyperlink" Target="https://login.consultant.ru/link/?req=doc&amp;base=LAW&amp;n=502327&amp;date=10.12.2025" TargetMode = "External"/><Relationship Id="rId177" Type="http://schemas.openxmlformats.org/officeDocument/2006/relationships/hyperlink" Target="https://login.consultant.ru/link/?req=doc&amp;base=LAW&amp;n=511515&amp;date=10.12.2025" TargetMode = "External"/><Relationship Id="rId178" Type="http://schemas.openxmlformats.org/officeDocument/2006/relationships/hyperlink" Target="https://login.consultant.ru/link/?req=doc&amp;base=LAW&amp;n=507063&amp;date=10.12.2025&amp;dst=100011&amp;field=134" TargetMode = "External"/><Relationship Id="rId179" Type="http://schemas.openxmlformats.org/officeDocument/2006/relationships/hyperlink" Target="https://login.consultant.ru/link/?req=doc&amp;base=LAW&amp;n=286370&amp;date=10.12.2025&amp;dst=100045&amp;field=134" TargetMode = "External"/><Relationship Id="rId180" Type="http://schemas.openxmlformats.org/officeDocument/2006/relationships/hyperlink" Target="https://login.consultant.ru/link/?req=doc&amp;base=LAW&amp;n=384683&amp;date=10.12.2025&amp;dst=100053&amp;field=134" TargetMode = "External"/><Relationship Id="rId181" Type="http://schemas.openxmlformats.org/officeDocument/2006/relationships/hyperlink" Target="https://login.consultant.ru/link/?req=doc&amp;base=LAW&amp;n=513748&amp;date=10.12.2025&amp;dst=100031&amp;field=134" TargetMode = "External"/><Relationship Id="rId182" Type="http://schemas.openxmlformats.org/officeDocument/2006/relationships/hyperlink" Target="https://login.consultant.ru/link/?req=doc&amp;base=LAW&amp;n=286370&amp;date=10.12.2025&amp;dst=100046&amp;field=134" TargetMode = "External"/><Relationship Id="rId183" Type="http://schemas.openxmlformats.org/officeDocument/2006/relationships/hyperlink" Target="https://login.consultant.ru/link/?req=doc&amp;base=LAW&amp;n=384685&amp;date=10.12.2025&amp;dst=100057&amp;field=134" TargetMode = "External"/><Relationship Id="rId184" Type="http://schemas.openxmlformats.org/officeDocument/2006/relationships/hyperlink" Target="https://login.consultant.ru/link/?req=doc&amp;base=LAW&amp;n=384685&amp;date=10.12.2025&amp;dst=100059&amp;field=134" TargetMode = "External"/><Relationship Id="rId185" Type="http://schemas.openxmlformats.org/officeDocument/2006/relationships/hyperlink" Target="https://login.consultant.ru/link/?req=doc&amp;base=LAW&amp;n=286370&amp;date=10.12.2025&amp;dst=100047&amp;field=134" TargetMode = "External"/><Relationship Id="rId186" Type="http://schemas.openxmlformats.org/officeDocument/2006/relationships/hyperlink" Target="https://login.consultant.ru/link/?req=doc&amp;base=LAW&amp;n=399668&amp;date=10.12.2025&amp;dst=100026&amp;field=134" TargetMode = "External"/><Relationship Id="rId187" Type="http://schemas.openxmlformats.org/officeDocument/2006/relationships/hyperlink" Target="https://login.consultant.ru/link/?req=doc&amp;base=LAW&amp;n=384685&amp;date=10.12.2025&amp;dst=100061&amp;field=134" TargetMode = "External"/><Relationship Id="rId188" Type="http://schemas.openxmlformats.org/officeDocument/2006/relationships/hyperlink" Target="https://login.consultant.ru/link/?req=doc&amp;base=LAW&amp;n=433133&amp;date=10.12.2025&amp;dst=100034&amp;field=134" TargetMode = "External"/><Relationship Id="rId189" Type="http://schemas.openxmlformats.org/officeDocument/2006/relationships/hyperlink" Target="https://login.consultant.ru/link/?req=doc&amp;base=LAW&amp;n=384685&amp;date=10.12.2025&amp;dst=100063&amp;field=134" TargetMode = "External"/><Relationship Id="rId190" Type="http://schemas.openxmlformats.org/officeDocument/2006/relationships/hyperlink" Target="https://login.consultant.ru/link/?req=doc&amp;base=LAW&amp;n=384685&amp;date=10.12.2025&amp;dst=100064&amp;field=134" TargetMode = "External"/><Relationship Id="rId191" Type="http://schemas.openxmlformats.org/officeDocument/2006/relationships/hyperlink" Target="https://login.consultant.ru/link/?req=doc&amp;base=LAW&amp;n=399668&amp;date=10.12.2025&amp;dst=100028&amp;field=134" TargetMode = "External"/><Relationship Id="rId192" Type="http://schemas.openxmlformats.org/officeDocument/2006/relationships/hyperlink" Target="https://login.consultant.ru/link/?req=doc&amp;base=LAW&amp;n=399668&amp;date=10.12.2025&amp;dst=100029&amp;field=134" TargetMode = "External"/><Relationship Id="rId193" Type="http://schemas.openxmlformats.org/officeDocument/2006/relationships/hyperlink" Target="https://login.consultant.ru/link/?req=doc&amp;base=LAW&amp;n=399668&amp;date=10.12.2025&amp;dst=100030&amp;field=134" TargetMode = "External"/><Relationship Id="rId194" Type="http://schemas.openxmlformats.org/officeDocument/2006/relationships/hyperlink" Target="https://login.consultant.ru/link/?req=doc&amp;base=LAW&amp;n=286370&amp;date=10.12.2025&amp;dst=100055&amp;field=134" TargetMode = "External"/><Relationship Id="rId195" Type="http://schemas.openxmlformats.org/officeDocument/2006/relationships/hyperlink" Target="https://login.consultant.ru/link/?req=doc&amp;base=LAW&amp;n=384685&amp;date=10.12.2025&amp;dst=100066&amp;field=134" TargetMode = "External"/><Relationship Id="rId196" Type="http://schemas.openxmlformats.org/officeDocument/2006/relationships/hyperlink" Target="https://login.consultant.ru/link/?req=doc&amp;base=LAW&amp;n=384685&amp;date=10.12.2025&amp;dst=100067&amp;field=134" TargetMode = "External"/><Relationship Id="rId197" Type="http://schemas.openxmlformats.org/officeDocument/2006/relationships/hyperlink" Target="https://login.consultant.ru/link/?req=doc&amp;base=LAW&amp;n=286370&amp;date=10.12.2025&amp;dst=100057&amp;field=134" TargetMode = "External"/><Relationship Id="rId198" Type="http://schemas.openxmlformats.org/officeDocument/2006/relationships/hyperlink" Target="https://login.consultant.ru/link/?req=doc&amp;base=LAW&amp;n=384685&amp;date=10.12.2025&amp;dst=100071&amp;field=134" TargetMode = "External"/><Relationship Id="rId199" Type="http://schemas.openxmlformats.org/officeDocument/2006/relationships/hyperlink" Target="https://login.consultant.ru/link/?req=doc&amp;base=LAW&amp;n=433133&amp;date=10.12.2025&amp;dst=100035&amp;field=134" TargetMode = "External"/><Relationship Id="rId200" Type="http://schemas.openxmlformats.org/officeDocument/2006/relationships/hyperlink" Target="https://login.consultant.ru/link/?req=doc&amp;base=LAW&amp;n=286370&amp;date=10.12.2025&amp;dst=100061&amp;field=134" TargetMode = "External"/><Relationship Id="rId201" Type="http://schemas.openxmlformats.org/officeDocument/2006/relationships/hyperlink" Target="https://login.consultant.ru/link/?req=doc&amp;base=LAW&amp;n=384685&amp;date=10.12.2025&amp;dst=100076&amp;field=134" TargetMode = "External"/><Relationship Id="rId202" Type="http://schemas.openxmlformats.org/officeDocument/2006/relationships/hyperlink" Target="https://login.consultant.ru/link/?req=doc&amp;base=LAW&amp;n=286370&amp;date=10.12.2025&amp;dst=100063&amp;field=134" TargetMode = "External"/><Relationship Id="rId203" Type="http://schemas.openxmlformats.org/officeDocument/2006/relationships/hyperlink" Target="https://login.consultant.ru/link/?req=doc&amp;base=LAW&amp;n=384685&amp;date=10.12.2025&amp;dst=100079&amp;field=134" TargetMode = "External"/><Relationship Id="rId204" Type="http://schemas.openxmlformats.org/officeDocument/2006/relationships/hyperlink" Target="https://login.consultant.ru/link/?req=doc&amp;base=LAW&amp;n=286370&amp;date=10.12.2025&amp;dst=100066&amp;field=134" TargetMode = "External"/><Relationship Id="rId205" Type="http://schemas.openxmlformats.org/officeDocument/2006/relationships/hyperlink" Target="https://login.consultant.ru/link/?req=doc&amp;base=LAW&amp;n=384685&amp;date=10.12.2025&amp;dst=100080&amp;field=134" TargetMode = "External"/><Relationship Id="rId206" Type="http://schemas.openxmlformats.org/officeDocument/2006/relationships/hyperlink" Target="https://login.consultant.ru/link/?req=doc&amp;base=LAW&amp;n=384685&amp;date=10.12.2025&amp;dst=100080&amp;field=134" TargetMode = "External"/><Relationship Id="rId207" Type="http://schemas.openxmlformats.org/officeDocument/2006/relationships/hyperlink" Target="https://login.consultant.ru/link/?req=doc&amp;base=LAW&amp;n=286370&amp;date=10.12.2025&amp;dst=100067&amp;field=134" TargetMode = "External"/><Relationship Id="rId208" Type="http://schemas.openxmlformats.org/officeDocument/2006/relationships/hyperlink" Target="https://login.consultant.ru/link/?req=doc&amp;base=LAW&amp;n=384685&amp;date=10.12.2025&amp;dst=100080&amp;field=134" TargetMode = "External"/><Relationship Id="rId209" Type="http://schemas.openxmlformats.org/officeDocument/2006/relationships/hyperlink" Target="https://login.consultant.ru/link/?req=doc&amp;base=LAW&amp;n=384685&amp;date=10.12.2025&amp;dst=100081&amp;field=134" TargetMode = "External"/><Relationship Id="rId210" Type="http://schemas.openxmlformats.org/officeDocument/2006/relationships/hyperlink" Target="https://login.consultant.ru/link/?req=doc&amp;base=LAW&amp;n=384685&amp;date=10.12.2025&amp;dst=100082&amp;field=134" TargetMode = "External"/><Relationship Id="rId211" Type="http://schemas.openxmlformats.org/officeDocument/2006/relationships/hyperlink" Target="https://login.consultant.ru/link/?req=doc&amp;base=LAW&amp;n=384685&amp;date=10.12.2025&amp;dst=100084&amp;field=134" TargetMode = "External"/><Relationship Id="rId212" Type="http://schemas.openxmlformats.org/officeDocument/2006/relationships/hyperlink" Target="https://login.consultant.ru/link/?req=doc&amp;base=LAW&amp;n=286370&amp;date=10.12.2025&amp;dst=100068&amp;field=134" TargetMode = "External"/><Relationship Id="rId213" Type="http://schemas.openxmlformats.org/officeDocument/2006/relationships/hyperlink" Target="https://login.consultant.ru/link/?req=doc&amp;base=LAW&amp;n=384685&amp;date=10.12.2025&amp;dst=100084&amp;field=134" TargetMode = "External"/><Relationship Id="rId214" Type="http://schemas.openxmlformats.org/officeDocument/2006/relationships/hyperlink" Target="https://login.consultant.ru/link/?req=doc&amp;base=LAW&amp;n=384685&amp;date=10.12.2025&amp;dst=100084&amp;field=134" TargetMode = "External"/><Relationship Id="rId215" Type="http://schemas.openxmlformats.org/officeDocument/2006/relationships/hyperlink" Target="https://login.consultant.ru/link/?req=doc&amp;base=LAW&amp;n=286370&amp;date=10.12.2025&amp;dst=100069&amp;field=134" TargetMode = "External"/><Relationship Id="rId216" Type="http://schemas.openxmlformats.org/officeDocument/2006/relationships/hyperlink" Target="https://login.consultant.ru/link/?req=doc&amp;base=LAW&amp;n=384685&amp;date=10.12.2025&amp;dst=100084&amp;field=134" TargetMode = "External"/><Relationship Id="rId217" Type="http://schemas.openxmlformats.org/officeDocument/2006/relationships/hyperlink" Target="https://login.consultant.ru/link/?req=doc&amp;base=LAW&amp;n=494990&amp;date=10.12.2025&amp;dst=12069&amp;field=134" TargetMode = "External"/><Relationship Id="rId218" Type="http://schemas.openxmlformats.org/officeDocument/2006/relationships/hyperlink" Target="https://login.consultant.ru/link/?req=doc&amp;base=LAW&amp;n=483052&amp;date=10.12.2025&amp;dst=555&amp;field=134" TargetMode = "External"/><Relationship Id="rId219" Type="http://schemas.openxmlformats.org/officeDocument/2006/relationships/hyperlink" Target="https://login.consultant.ru/link/?req=doc&amp;base=LAW&amp;n=433133&amp;date=10.12.2025&amp;dst=100036&amp;field=134" TargetMode = "External"/><Relationship Id="rId220" Type="http://schemas.openxmlformats.org/officeDocument/2006/relationships/hyperlink" Target="https://login.consultant.ru/link/?req=doc&amp;base=LAW&amp;n=286370&amp;date=10.12.2025&amp;dst=100080&amp;field=134" TargetMode = "External"/><Relationship Id="rId221" Type="http://schemas.openxmlformats.org/officeDocument/2006/relationships/hyperlink" Target="https://login.consultant.ru/link/?req=doc&amp;base=LAW&amp;n=433133&amp;date=10.12.2025&amp;dst=100038&amp;field=134" TargetMode = "External"/><Relationship Id="rId222" Type="http://schemas.openxmlformats.org/officeDocument/2006/relationships/hyperlink" Target="https://login.consultant.ru/link/?req=doc&amp;base=LAW&amp;n=433133&amp;date=10.12.2025&amp;dst=100041&amp;field=134" TargetMode = "External"/><Relationship Id="rId223" Type="http://schemas.openxmlformats.org/officeDocument/2006/relationships/hyperlink" Target="https://login.consultant.ru/link/?req=doc&amp;base=LAW&amp;n=286370&amp;date=10.12.2025&amp;dst=100085&amp;field=134" TargetMode = "External"/><Relationship Id="rId224" Type="http://schemas.openxmlformats.org/officeDocument/2006/relationships/hyperlink" Target="https://login.consultant.ru/link/?req=doc&amp;base=LAW&amp;n=484878&amp;date=10.12.2025&amp;dst=100035&amp;field=134" TargetMode = "External"/><Relationship Id="rId225" Type="http://schemas.openxmlformats.org/officeDocument/2006/relationships/hyperlink" Target="https://login.consultant.ru/link/?req=doc&amp;base=LAW&amp;n=444243&amp;date=10.12.2025" TargetMode = "External"/><Relationship Id="rId226" Type="http://schemas.openxmlformats.org/officeDocument/2006/relationships/image" Target="media/image2.wmf"/><Relationship Id="rId227" Type="http://schemas.openxmlformats.org/officeDocument/2006/relationships/image" Target="media/image3.wmf"/><Relationship Id="rId228" Type="http://schemas.openxmlformats.org/officeDocument/2006/relationships/image" Target="media/image4.wmf"/><Relationship Id="rId229" Type="http://schemas.openxmlformats.org/officeDocument/2006/relationships/hyperlink" Target="https://login.consultant.ru/link/?req=doc&amp;base=LAW&amp;n=513748&amp;date=10.12.2025&amp;dst=100032&amp;field=134" TargetMode = "External"/><Relationship Id="rId230" Type="http://schemas.openxmlformats.org/officeDocument/2006/relationships/image" Target="media/image5.wmf"/><Relationship Id="rId231" Type="http://schemas.openxmlformats.org/officeDocument/2006/relationships/hyperlink" Target="https://login.consultant.ru/link/?req=doc&amp;base=LAW&amp;n=513748&amp;date=10.12.2025&amp;dst=100046&amp;field=134" TargetMode = "External"/><Relationship Id="rId232" Type="http://schemas.openxmlformats.org/officeDocument/2006/relationships/image" Target="media/image6.wmf"/><Relationship Id="rId233" Type="http://schemas.openxmlformats.org/officeDocument/2006/relationships/image" Target="media/image7.wmf"/><Relationship Id="rId234" Type="http://schemas.openxmlformats.org/officeDocument/2006/relationships/image" Target="media/image8.wmf"/><Relationship Id="rId235" Type="http://schemas.openxmlformats.org/officeDocument/2006/relationships/image" Target="media/image9.wmf"/><Relationship Id="rId236" Type="http://schemas.openxmlformats.org/officeDocument/2006/relationships/image" Target="media/image10.wmf"/><Relationship Id="rId237" Type="http://schemas.openxmlformats.org/officeDocument/2006/relationships/hyperlink" Target="https://login.consultant.ru/link/?req=doc&amp;base=LAW&amp;n=513748&amp;date=10.12.2025&amp;dst=100048&amp;field=134" TargetMode = "External"/><Relationship Id="rId238" Type="http://schemas.openxmlformats.org/officeDocument/2006/relationships/hyperlink" Target="https://login.consultant.ru/link/?req=doc&amp;base=LAW&amp;n=513748&amp;date=10.12.2025&amp;dst=100050&amp;field=134" TargetMode = "External"/><Relationship Id="rId239" Type="http://schemas.openxmlformats.org/officeDocument/2006/relationships/hyperlink" Target="https://login.consultant.ru/link/?req=doc&amp;base=LAW&amp;n=513748&amp;date=10.12.2025&amp;dst=100051&amp;field=134" TargetMode = "External"/><Relationship Id="rId240" Type="http://schemas.openxmlformats.org/officeDocument/2006/relationships/hyperlink" Target="https://login.consultant.ru/link/?req=doc&amp;base=LAW&amp;n=513748&amp;date=10.12.2025&amp;dst=100052&amp;field=134" TargetMode = "External"/><Relationship Id="rId241" Type="http://schemas.openxmlformats.org/officeDocument/2006/relationships/hyperlink" Target="https://login.consultant.ru/link/?req=doc&amp;base=LAW&amp;n=484878&amp;date=10.12.2025&amp;dst=100081&amp;field=134" TargetMode = "External"/><Relationship Id="rId242" Type="http://schemas.openxmlformats.org/officeDocument/2006/relationships/hyperlink" Target="https://monitoring.corpmsp.ru" TargetMode = "External"/><Relationship Id="rId243" Type="http://schemas.openxmlformats.org/officeDocument/2006/relationships/hyperlink" Target="https://login.consultant.ru/link/?req=doc&amp;base=LAW&amp;n=513748&amp;date=10.12.2025&amp;dst=100054&amp;field=134" TargetMode = "External"/><Relationship Id="rId244" Type="http://schemas.openxmlformats.org/officeDocument/2006/relationships/hyperlink" Target="https://login.consultant.ru/link/?req=doc&amp;base=LAW&amp;n=513748&amp;date=10.12.2025&amp;dst=100056&amp;field=134" TargetMode = "External"/><Relationship Id="rId245" Type="http://schemas.openxmlformats.org/officeDocument/2006/relationships/hyperlink" Target="https://login.consultant.ru/link/?req=doc&amp;base=LAW&amp;n=286370&amp;date=10.12.2025&amp;dst=100089&amp;field=134" TargetMode = "External"/><Relationship Id="rId246" Type="http://schemas.openxmlformats.org/officeDocument/2006/relationships/image" Target="media/image11.wmf"/><Relationship Id="rId247" Type="http://schemas.openxmlformats.org/officeDocument/2006/relationships/image" Target="media/image12.wmf"/><Relationship Id="rId248" Type="http://schemas.openxmlformats.org/officeDocument/2006/relationships/hyperlink" Target="https://login.consultant.ru/link/?req=doc&amp;base=LAW&amp;n=286370&amp;date=10.12.2025&amp;dst=100089&amp;field=134" TargetMode = "External"/><Relationship Id="rId249" Type="http://schemas.openxmlformats.org/officeDocument/2006/relationships/hyperlink" Target="https://login.consultant.ru/link/?req=doc&amp;base=LAW&amp;n=399668&amp;date=10.12.2025&amp;dst=100032&amp;field=134" TargetMode = "External"/><Relationship Id="rId250" Type="http://schemas.openxmlformats.org/officeDocument/2006/relationships/hyperlink" Target="https://login.consultant.ru/link/?req=doc&amp;base=LAW&amp;n=511232&amp;date=10.12.2025" TargetMode = "External"/><Relationship Id="rId251" Type="http://schemas.openxmlformats.org/officeDocument/2006/relationships/hyperlink" Target="https://login.consultant.ru/link/?req=doc&amp;base=LAW&amp;n=508506&amp;date=10.12.2025&amp;dst=101466&amp;field=134" TargetMode = "External"/><Relationship Id="rId252" Type="http://schemas.openxmlformats.org/officeDocument/2006/relationships/hyperlink" Target="https://login.consultant.ru/link/?req=doc&amp;base=LAW&amp;n=484878&amp;date=10.12.2025&amp;dst=100085&amp;field=134" TargetMode = "External"/><Relationship Id="rId253" Type="http://schemas.openxmlformats.org/officeDocument/2006/relationships/header" Target="header2.xml"/><Relationship Id="rId254" Type="http://schemas.openxmlformats.org/officeDocument/2006/relationships/footer" Target="footer2.xml"/><Relationship Id="rId255" Type="http://schemas.openxmlformats.org/officeDocument/2006/relationships/hyperlink" Target="https://login.consultant.ru/link/?req=doc&amp;base=LAW&amp;n=480068&amp;date=10.12.2025" TargetMode = "External"/><Relationship Id="rId256" Type="http://schemas.openxmlformats.org/officeDocument/2006/relationships/image" Target="media/image13.wmf"/><Relationship Id="rId257" Type="http://schemas.openxmlformats.org/officeDocument/2006/relationships/image" Target="media/image14.wmf"/></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28.11.2016 N 763
(ред. от 17.06.2025)
"Об утверждении требований к фондам содействия кредитованию (гарантийным фондам, фондам поручительств) и их деятельности"
(Зарегистрировано в Минюсте России 30.12.2016 N 45078)</dc:title>
  <dcterms:created xsi:type="dcterms:W3CDTF">2025-12-10T11:45:15Z</dcterms:created>
</cp:coreProperties>
</file>