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C8B01" w14:textId="11F9A8F5" w:rsidR="00B96058" w:rsidRDefault="00B96058" w:rsidP="00B96058">
      <w:pPr>
        <w:spacing w:after="0"/>
        <w:ind w:left="4962"/>
        <w:jc w:val="both"/>
        <w:rPr>
          <w:rFonts w:ascii="Times New Roman" w:eastAsia="Arial Unicode MS" w:hAnsi="Times New Roman" w:cs="Times New Roman"/>
          <w:bCs/>
          <w:sz w:val="20"/>
          <w:szCs w:val="20"/>
        </w:rPr>
      </w:pPr>
      <w:r w:rsidRPr="001508C6">
        <w:rPr>
          <w:rFonts w:ascii="Times New Roman" w:hAnsi="Times New Roman" w:cs="Times New Roman"/>
          <w:sz w:val="20"/>
          <w:szCs w:val="20"/>
        </w:rPr>
        <w:t>Приложение №</w:t>
      </w:r>
      <w:r>
        <w:rPr>
          <w:rFonts w:ascii="Times New Roman" w:hAnsi="Times New Roman" w:cs="Times New Roman"/>
          <w:sz w:val="20"/>
          <w:szCs w:val="20"/>
        </w:rPr>
        <w:t>1</w:t>
      </w:r>
      <w:r w:rsidR="00D1143D">
        <w:rPr>
          <w:rFonts w:ascii="Times New Roman" w:hAnsi="Times New Roman" w:cs="Times New Roman"/>
          <w:sz w:val="20"/>
          <w:szCs w:val="20"/>
        </w:rPr>
        <w:t xml:space="preserve">2 </w:t>
      </w:r>
      <w:r w:rsidRPr="00A369CE">
        <w:rPr>
          <w:rFonts w:ascii="Times New Roman" w:eastAsia="Arial Unicode MS" w:hAnsi="Times New Roman" w:cs="Times New Roman"/>
          <w:bCs/>
          <w:sz w:val="20"/>
          <w:szCs w:val="20"/>
        </w:rPr>
        <w:t>к Стандарту</w:t>
      </w:r>
      <w:r>
        <w:rPr>
          <w:rFonts w:ascii="Times New Roman" w:eastAsia="Arial Unicode MS" w:hAnsi="Times New Roman" w:cs="Times New Roman"/>
          <w:bCs/>
          <w:sz w:val="20"/>
          <w:szCs w:val="20"/>
        </w:rPr>
        <w:t xml:space="preserve"> «</w:t>
      </w:r>
      <w:r w:rsidRPr="00A369CE">
        <w:rPr>
          <w:rFonts w:ascii="Times New Roman" w:eastAsia="Arial Unicode MS" w:hAnsi="Times New Roman" w:cs="Times New Roman"/>
          <w:bCs/>
          <w:sz w:val="20"/>
          <w:szCs w:val="20"/>
        </w:rPr>
        <w:t>Условия</w:t>
      </w:r>
      <w:r>
        <w:rPr>
          <w:rFonts w:ascii="Times New Roman" w:eastAsia="Arial Unicode MS" w:hAnsi="Times New Roman" w:cs="Times New Roman"/>
          <w:bCs/>
          <w:sz w:val="20"/>
          <w:szCs w:val="20"/>
        </w:rPr>
        <w:t xml:space="preserve"> и порядок</w:t>
      </w:r>
      <w:r w:rsidRPr="00A369CE">
        <w:rPr>
          <w:rFonts w:ascii="Times New Roman" w:eastAsia="Arial Unicode MS" w:hAnsi="Times New Roman" w:cs="Times New Roman"/>
          <w:bCs/>
          <w:sz w:val="20"/>
          <w:szCs w:val="20"/>
        </w:rPr>
        <w:t xml:space="preserve"> </w:t>
      </w:r>
      <w:r>
        <w:rPr>
          <w:rFonts w:ascii="Times New Roman" w:eastAsia="Arial Unicode MS" w:hAnsi="Times New Roman" w:cs="Times New Roman"/>
          <w:bCs/>
          <w:sz w:val="20"/>
          <w:szCs w:val="20"/>
        </w:rPr>
        <w:t xml:space="preserve">предоставления </w:t>
      </w:r>
      <w:r w:rsidR="00D1143D">
        <w:rPr>
          <w:rFonts w:ascii="Times New Roman" w:eastAsia="Arial Unicode MS" w:hAnsi="Times New Roman" w:cs="Times New Roman"/>
          <w:bCs/>
          <w:sz w:val="20"/>
          <w:szCs w:val="20"/>
        </w:rPr>
        <w:t>финансирования</w:t>
      </w:r>
      <w:r>
        <w:rPr>
          <w:rFonts w:ascii="Times New Roman" w:eastAsia="Arial Unicode MS" w:hAnsi="Times New Roman" w:cs="Times New Roman"/>
          <w:bCs/>
          <w:sz w:val="20"/>
          <w:szCs w:val="20"/>
        </w:rPr>
        <w:t>»</w:t>
      </w:r>
    </w:p>
    <w:p w14:paraId="533D7383" w14:textId="77777777" w:rsidR="00B96058" w:rsidRDefault="00B96058" w:rsidP="00B96058">
      <w:pPr>
        <w:spacing w:after="0"/>
        <w:ind w:left="4962"/>
        <w:jc w:val="both"/>
        <w:rPr>
          <w:rFonts w:ascii="Times New Roman" w:eastAsia="Arial Unicode MS" w:hAnsi="Times New Roman" w:cs="Times New Roman"/>
          <w:bCs/>
          <w:sz w:val="20"/>
          <w:szCs w:val="20"/>
        </w:rPr>
      </w:pPr>
    </w:p>
    <w:p w14:paraId="778553BC" w14:textId="77777777" w:rsidR="00B96058" w:rsidRPr="001508C6" w:rsidRDefault="00B96058" w:rsidP="00B96058">
      <w:pPr>
        <w:spacing w:after="0"/>
        <w:ind w:left="4962"/>
        <w:jc w:val="both"/>
        <w:rPr>
          <w:rFonts w:ascii="Times New Roman" w:hAnsi="Times New Roman" w:cs="Times New Roman"/>
          <w:sz w:val="20"/>
          <w:szCs w:val="20"/>
        </w:rPr>
      </w:pPr>
    </w:p>
    <w:p w14:paraId="50EA49C2" w14:textId="27D8636C" w:rsidR="005E180D" w:rsidRDefault="00246458" w:rsidP="00246458">
      <w:pPr>
        <w:jc w:val="center"/>
        <w:rPr>
          <w:rFonts w:ascii="Times New Roman" w:hAnsi="Times New Roman" w:cs="Times New Roman"/>
          <w:b/>
          <w:sz w:val="28"/>
          <w:szCs w:val="28"/>
          <w:u w:val="single"/>
        </w:rPr>
      </w:pPr>
      <w:r w:rsidRPr="00246458">
        <w:rPr>
          <w:rFonts w:ascii="Times New Roman" w:hAnsi="Times New Roman" w:cs="Times New Roman"/>
          <w:b/>
          <w:sz w:val="28"/>
          <w:szCs w:val="28"/>
          <w:u w:val="single"/>
        </w:rPr>
        <w:t>Программа финансирования «Инвестиционные проекты</w:t>
      </w:r>
      <w:r w:rsidR="00D1143D">
        <w:rPr>
          <w:rFonts w:ascii="Times New Roman" w:hAnsi="Times New Roman" w:cs="Times New Roman"/>
          <w:b/>
          <w:sz w:val="28"/>
          <w:szCs w:val="28"/>
          <w:u w:val="single"/>
        </w:rPr>
        <w:t xml:space="preserve"> (регион)</w:t>
      </w:r>
      <w:r w:rsidRPr="00246458">
        <w:rPr>
          <w:rFonts w:ascii="Times New Roman" w:hAnsi="Times New Roman" w:cs="Times New Roman"/>
          <w:b/>
          <w:sz w:val="28"/>
          <w:szCs w:val="28"/>
          <w:u w:val="single"/>
        </w:rPr>
        <w:t>»</w:t>
      </w:r>
    </w:p>
    <w:p w14:paraId="471C780F" w14:textId="77777777" w:rsidR="00246458" w:rsidRPr="00B96058" w:rsidRDefault="006168B7" w:rsidP="006168B7">
      <w:pPr>
        <w:rPr>
          <w:rFonts w:ascii="Times New Roman" w:hAnsi="Times New Roman" w:cs="Times New Roman"/>
          <w:b/>
          <w:sz w:val="24"/>
          <w:szCs w:val="24"/>
        </w:rPr>
      </w:pPr>
      <w:r w:rsidRPr="00B96058">
        <w:rPr>
          <w:rFonts w:ascii="Times New Roman" w:hAnsi="Times New Roman" w:cs="Times New Roman"/>
          <w:b/>
          <w:sz w:val="24"/>
          <w:szCs w:val="24"/>
        </w:rPr>
        <w:t>Условия Программы</w:t>
      </w:r>
      <w:r w:rsidR="00B96058" w:rsidRPr="00B96058">
        <w:rPr>
          <w:rFonts w:ascii="Times New Roman" w:hAnsi="Times New Roman" w:cs="Times New Roman"/>
          <w:b/>
          <w:sz w:val="24"/>
          <w:szCs w:val="24"/>
        </w:rPr>
        <w:t>:</w:t>
      </w:r>
    </w:p>
    <w:tbl>
      <w:tblPr>
        <w:tblStyle w:val="a3"/>
        <w:tblW w:w="0" w:type="auto"/>
        <w:tblLook w:val="04A0" w:firstRow="1" w:lastRow="0" w:firstColumn="1" w:lastColumn="0" w:noHBand="0" w:noVBand="1"/>
      </w:tblPr>
      <w:tblGrid>
        <w:gridCol w:w="4667"/>
        <w:gridCol w:w="4678"/>
      </w:tblGrid>
      <w:tr w:rsidR="006168B7" w:rsidRPr="00D92D0A" w14:paraId="4CD9EC6E" w14:textId="77777777" w:rsidTr="006168B7">
        <w:tc>
          <w:tcPr>
            <w:tcW w:w="4785" w:type="dxa"/>
          </w:tcPr>
          <w:p w14:paraId="2A36B676" w14:textId="77777777" w:rsidR="006168B7" w:rsidRPr="00BF7122" w:rsidRDefault="000C621D" w:rsidP="007141FB">
            <w:pPr>
              <w:rPr>
                <w:rFonts w:ascii="Times New Roman" w:hAnsi="Times New Roman" w:cs="Times New Roman"/>
                <w:b/>
              </w:rPr>
            </w:pPr>
            <w:r w:rsidRPr="00BF7122">
              <w:rPr>
                <w:rFonts w:ascii="Times New Roman" w:hAnsi="Times New Roman" w:cs="Times New Roman"/>
                <w:b/>
              </w:rPr>
              <w:t>Наименование</w:t>
            </w:r>
          </w:p>
        </w:tc>
        <w:tc>
          <w:tcPr>
            <w:tcW w:w="4786" w:type="dxa"/>
          </w:tcPr>
          <w:p w14:paraId="10028CA2" w14:textId="77777777" w:rsidR="006168B7" w:rsidRPr="00BF7122" w:rsidRDefault="000C621D" w:rsidP="007141FB">
            <w:pPr>
              <w:rPr>
                <w:rFonts w:ascii="Times New Roman" w:hAnsi="Times New Roman" w:cs="Times New Roman"/>
                <w:b/>
              </w:rPr>
            </w:pPr>
            <w:r w:rsidRPr="00BF7122">
              <w:rPr>
                <w:rFonts w:ascii="Times New Roman" w:hAnsi="Times New Roman" w:cs="Times New Roman"/>
                <w:b/>
              </w:rPr>
              <w:t>Значение</w:t>
            </w:r>
          </w:p>
        </w:tc>
      </w:tr>
      <w:tr w:rsidR="000C621D" w:rsidRPr="00D92D0A" w14:paraId="6A0C770E" w14:textId="77777777" w:rsidTr="006168B7">
        <w:tc>
          <w:tcPr>
            <w:tcW w:w="4785" w:type="dxa"/>
          </w:tcPr>
          <w:p w14:paraId="5F502009" w14:textId="77777777" w:rsidR="000C621D" w:rsidRPr="00D92D0A" w:rsidRDefault="00BF7122" w:rsidP="007141FB">
            <w:pPr>
              <w:rPr>
                <w:rFonts w:ascii="Times New Roman" w:hAnsi="Times New Roman" w:cs="Times New Roman"/>
              </w:rPr>
            </w:pPr>
            <w:r>
              <w:rPr>
                <w:rFonts w:ascii="Times New Roman" w:hAnsi="Times New Roman" w:cs="Times New Roman"/>
              </w:rPr>
              <w:t>С</w:t>
            </w:r>
            <w:r w:rsidR="000C621D" w:rsidRPr="00D92D0A">
              <w:rPr>
                <w:rFonts w:ascii="Times New Roman" w:hAnsi="Times New Roman" w:cs="Times New Roman"/>
              </w:rPr>
              <w:t>умма займа</w:t>
            </w:r>
          </w:p>
        </w:tc>
        <w:tc>
          <w:tcPr>
            <w:tcW w:w="4786" w:type="dxa"/>
          </w:tcPr>
          <w:p w14:paraId="1FE9DE93" w14:textId="03C8161E" w:rsidR="000C621D" w:rsidRPr="00D92D0A" w:rsidRDefault="000C621D" w:rsidP="007141FB">
            <w:pPr>
              <w:rPr>
                <w:rFonts w:ascii="Times New Roman" w:hAnsi="Times New Roman" w:cs="Times New Roman"/>
              </w:rPr>
            </w:pPr>
            <w:r w:rsidRPr="00D92D0A">
              <w:rPr>
                <w:rFonts w:ascii="Times New Roman" w:hAnsi="Times New Roman" w:cs="Times New Roman"/>
              </w:rPr>
              <w:t xml:space="preserve">от 5 000 тыс. руб. до </w:t>
            </w:r>
            <w:r w:rsidR="006D2C9C">
              <w:rPr>
                <w:rFonts w:ascii="Times New Roman" w:hAnsi="Times New Roman" w:cs="Times New Roman"/>
              </w:rPr>
              <w:t>35</w:t>
            </w:r>
            <w:r w:rsidRPr="00D92D0A">
              <w:rPr>
                <w:rFonts w:ascii="Times New Roman" w:hAnsi="Times New Roman" w:cs="Times New Roman"/>
              </w:rPr>
              <w:t> 000 тыс.</w:t>
            </w:r>
            <w:r w:rsidR="008646A4">
              <w:rPr>
                <w:rFonts w:ascii="Times New Roman" w:hAnsi="Times New Roman" w:cs="Times New Roman"/>
              </w:rPr>
              <w:t xml:space="preserve"> </w:t>
            </w:r>
            <w:r w:rsidRPr="00D92D0A">
              <w:rPr>
                <w:rFonts w:ascii="Times New Roman" w:hAnsi="Times New Roman" w:cs="Times New Roman"/>
              </w:rPr>
              <w:t>руб.</w:t>
            </w:r>
          </w:p>
        </w:tc>
      </w:tr>
      <w:tr w:rsidR="000C621D" w:rsidRPr="00D92D0A" w14:paraId="49CAA417" w14:textId="77777777" w:rsidTr="006168B7">
        <w:tc>
          <w:tcPr>
            <w:tcW w:w="4785" w:type="dxa"/>
          </w:tcPr>
          <w:p w14:paraId="7B404320" w14:textId="77777777" w:rsidR="000C621D" w:rsidRPr="00D92D0A" w:rsidRDefault="00BF7122" w:rsidP="006168B7">
            <w:pPr>
              <w:rPr>
                <w:rFonts w:ascii="Times New Roman" w:hAnsi="Times New Roman" w:cs="Times New Roman"/>
              </w:rPr>
            </w:pPr>
            <w:r>
              <w:rPr>
                <w:rFonts w:ascii="Times New Roman" w:hAnsi="Times New Roman" w:cs="Times New Roman"/>
              </w:rPr>
              <w:t>С</w:t>
            </w:r>
            <w:r w:rsidR="000C621D" w:rsidRPr="00D92D0A">
              <w:rPr>
                <w:rFonts w:ascii="Times New Roman" w:hAnsi="Times New Roman" w:cs="Times New Roman"/>
              </w:rPr>
              <w:t>рок займа</w:t>
            </w:r>
          </w:p>
        </w:tc>
        <w:tc>
          <w:tcPr>
            <w:tcW w:w="4786" w:type="dxa"/>
          </w:tcPr>
          <w:p w14:paraId="6B5C2A2B" w14:textId="77777777" w:rsidR="000C621D" w:rsidRPr="00D92D0A" w:rsidRDefault="000C621D" w:rsidP="006168B7">
            <w:pPr>
              <w:rPr>
                <w:rFonts w:ascii="Times New Roman" w:hAnsi="Times New Roman" w:cs="Times New Roman"/>
              </w:rPr>
            </w:pPr>
            <w:r w:rsidRPr="00D92D0A">
              <w:rPr>
                <w:rFonts w:ascii="Times New Roman" w:hAnsi="Times New Roman" w:cs="Times New Roman"/>
              </w:rPr>
              <w:t>до 36 месяцев</w:t>
            </w:r>
          </w:p>
        </w:tc>
      </w:tr>
      <w:tr w:rsidR="000C621D" w:rsidRPr="00D92D0A" w14:paraId="406B8760" w14:textId="77777777" w:rsidTr="00B038DC">
        <w:tc>
          <w:tcPr>
            <w:tcW w:w="9571" w:type="dxa"/>
            <w:gridSpan w:val="2"/>
          </w:tcPr>
          <w:p w14:paraId="7E05D28E" w14:textId="77777777" w:rsidR="000C621D" w:rsidRPr="00D92D0A" w:rsidRDefault="00BF7122" w:rsidP="006168B7">
            <w:pPr>
              <w:rPr>
                <w:rFonts w:ascii="Times New Roman" w:hAnsi="Times New Roman" w:cs="Times New Roman"/>
              </w:rPr>
            </w:pPr>
            <w:r>
              <w:rPr>
                <w:rFonts w:ascii="Times New Roman" w:hAnsi="Times New Roman" w:cs="Times New Roman"/>
              </w:rPr>
              <w:t>П</w:t>
            </w:r>
            <w:r w:rsidR="000C621D" w:rsidRPr="00D92D0A">
              <w:rPr>
                <w:rFonts w:ascii="Times New Roman" w:hAnsi="Times New Roman" w:cs="Times New Roman"/>
              </w:rPr>
              <w:t>роцентная ставка:</w:t>
            </w:r>
          </w:p>
        </w:tc>
      </w:tr>
      <w:tr w:rsidR="000C621D" w:rsidRPr="00D92D0A" w14:paraId="793B5882" w14:textId="77777777" w:rsidTr="006168B7">
        <w:tc>
          <w:tcPr>
            <w:tcW w:w="4785" w:type="dxa"/>
          </w:tcPr>
          <w:p w14:paraId="78353607" w14:textId="77777777" w:rsidR="000C621D" w:rsidRPr="00D92D0A" w:rsidRDefault="000C621D" w:rsidP="006168B7">
            <w:pPr>
              <w:rPr>
                <w:rFonts w:ascii="Times New Roman" w:hAnsi="Times New Roman" w:cs="Times New Roman"/>
              </w:rPr>
            </w:pPr>
            <w:r w:rsidRPr="00D92D0A">
              <w:rPr>
                <w:rFonts w:ascii="Times New Roman" w:hAnsi="Times New Roman" w:cs="Times New Roman"/>
              </w:rPr>
              <w:t xml:space="preserve"> - базовая</w:t>
            </w:r>
          </w:p>
        </w:tc>
        <w:tc>
          <w:tcPr>
            <w:tcW w:w="4786" w:type="dxa"/>
          </w:tcPr>
          <w:p w14:paraId="2C66A7AD" w14:textId="257B04A9" w:rsidR="000C621D" w:rsidRPr="00D92D0A" w:rsidRDefault="009E2AB8" w:rsidP="006168B7">
            <w:pPr>
              <w:rPr>
                <w:rFonts w:ascii="Times New Roman" w:hAnsi="Times New Roman" w:cs="Times New Roman"/>
              </w:rPr>
            </w:pPr>
            <w:r>
              <w:rPr>
                <w:rFonts w:ascii="Times New Roman" w:hAnsi="Times New Roman" w:cs="Times New Roman"/>
              </w:rPr>
              <w:t>10</w:t>
            </w:r>
            <w:r w:rsidR="000C621D" w:rsidRPr="00D92D0A">
              <w:rPr>
                <w:rFonts w:ascii="Times New Roman" w:hAnsi="Times New Roman" w:cs="Times New Roman"/>
              </w:rPr>
              <w:t>% годовых</w:t>
            </w:r>
            <w:r w:rsidR="00916565">
              <w:rPr>
                <w:rFonts w:ascii="Times New Roman" w:hAnsi="Times New Roman" w:cs="Times New Roman"/>
              </w:rPr>
              <w:t xml:space="preserve"> на весь срок действия Договора займа</w:t>
            </w:r>
          </w:p>
        </w:tc>
      </w:tr>
      <w:tr w:rsidR="000C621D" w:rsidRPr="00D92D0A" w14:paraId="45146FB9" w14:textId="77777777" w:rsidTr="006168B7">
        <w:tc>
          <w:tcPr>
            <w:tcW w:w="4785" w:type="dxa"/>
          </w:tcPr>
          <w:p w14:paraId="74BF6A0F" w14:textId="77777777" w:rsidR="000C621D" w:rsidRPr="00D92D0A" w:rsidRDefault="000C621D" w:rsidP="006168B7">
            <w:pPr>
              <w:rPr>
                <w:rFonts w:ascii="Times New Roman" w:hAnsi="Times New Roman" w:cs="Times New Roman"/>
              </w:rPr>
            </w:pPr>
            <w:r w:rsidRPr="00D92D0A">
              <w:rPr>
                <w:rFonts w:ascii="Times New Roman" w:hAnsi="Times New Roman" w:cs="Times New Roman"/>
              </w:rPr>
              <w:t xml:space="preserve"> - для субъектов деятельности в сфере промышленности -</w:t>
            </w:r>
            <w:r w:rsidRPr="00D92D0A">
              <w:rPr>
                <w:rFonts w:ascii="Times New Roman" w:hAnsi="Times New Roman" w:cs="Times New Roman"/>
                <w:color w:val="000000"/>
                <w:shd w:val="clear" w:color="auto" w:fill="FFFFFF"/>
              </w:rPr>
              <w:t> участников промышленных кластеров</w:t>
            </w:r>
          </w:p>
        </w:tc>
        <w:tc>
          <w:tcPr>
            <w:tcW w:w="4786" w:type="dxa"/>
            <w:vMerge w:val="restart"/>
            <w:vAlign w:val="center"/>
          </w:tcPr>
          <w:p w14:paraId="6E54C4F2" w14:textId="7B6E9DEF" w:rsidR="000C621D" w:rsidRPr="00D92D0A" w:rsidRDefault="004763D8" w:rsidP="006168B7">
            <w:pPr>
              <w:rPr>
                <w:rFonts w:ascii="Times New Roman" w:hAnsi="Times New Roman" w:cs="Times New Roman"/>
              </w:rPr>
            </w:pPr>
            <w:r>
              <w:rPr>
                <w:rFonts w:ascii="Times New Roman" w:hAnsi="Times New Roman" w:cs="Times New Roman"/>
              </w:rPr>
              <w:t>8</w:t>
            </w:r>
            <w:r w:rsidR="000C621D" w:rsidRPr="00D92D0A">
              <w:rPr>
                <w:rFonts w:ascii="Times New Roman" w:hAnsi="Times New Roman" w:cs="Times New Roman"/>
              </w:rPr>
              <w:t>% годовых</w:t>
            </w:r>
            <w:r w:rsidR="00916565">
              <w:rPr>
                <w:rFonts w:ascii="Times New Roman" w:hAnsi="Times New Roman" w:cs="Times New Roman"/>
              </w:rPr>
              <w:t xml:space="preserve"> на весь срок действия Договора займа</w:t>
            </w:r>
          </w:p>
        </w:tc>
      </w:tr>
      <w:tr w:rsidR="000C621D" w:rsidRPr="00D92D0A" w14:paraId="1308575F" w14:textId="77777777" w:rsidTr="006168B7">
        <w:tc>
          <w:tcPr>
            <w:tcW w:w="4785" w:type="dxa"/>
          </w:tcPr>
          <w:p w14:paraId="3C0EF721" w14:textId="77777777" w:rsidR="000C621D" w:rsidRPr="00D92D0A" w:rsidRDefault="000C621D" w:rsidP="006168B7">
            <w:pPr>
              <w:rPr>
                <w:rFonts w:ascii="Times New Roman" w:hAnsi="Times New Roman" w:cs="Times New Roman"/>
              </w:rPr>
            </w:pPr>
            <w:r w:rsidRPr="00D92D0A">
              <w:rPr>
                <w:rFonts w:ascii="Times New Roman" w:hAnsi="Times New Roman" w:cs="Times New Roman"/>
              </w:rPr>
              <w:t xml:space="preserve"> - для субъектов деятельности в сфере промышленности – предприятий оборонно-промышленного комплекса (ОПК), состоящих в реестре предприятий ОПК</w:t>
            </w:r>
          </w:p>
        </w:tc>
        <w:tc>
          <w:tcPr>
            <w:tcW w:w="4786" w:type="dxa"/>
            <w:vMerge/>
          </w:tcPr>
          <w:p w14:paraId="252B8E8C" w14:textId="77777777" w:rsidR="000C621D" w:rsidRPr="00D92D0A" w:rsidRDefault="000C621D" w:rsidP="006168B7">
            <w:pPr>
              <w:rPr>
                <w:rFonts w:ascii="Times New Roman" w:hAnsi="Times New Roman" w:cs="Times New Roman"/>
              </w:rPr>
            </w:pPr>
          </w:p>
        </w:tc>
      </w:tr>
      <w:tr w:rsidR="00C70DB2" w:rsidRPr="00D92D0A" w14:paraId="4B5354C8" w14:textId="77777777" w:rsidTr="006168B7">
        <w:tc>
          <w:tcPr>
            <w:tcW w:w="4785" w:type="dxa"/>
          </w:tcPr>
          <w:p w14:paraId="420C8811" w14:textId="77777777" w:rsidR="00C70DB2" w:rsidRPr="00D92D0A" w:rsidRDefault="00BF7122" w:rsidP="006168B7">
            <w:pPr>
              <w:rPr>
                <w:rFonts w:ascii="Times New Roman" w:hAnsi="Times New Roman" w:cs="Times New Roman"/>
              </w:rPr>
            </w:pPr>
            <w:r>
              <w:rPr>
                <w:rFonts w:ascii="Times New Roman" w:hAnsi="Times New Roman" w:cs="Times New Roman"/>
              </w:rPr>
              <w:t>П</w:t>
            </w:r>
            <w:r w:rsidR="00C70DB2">
              <w:rPr>
                <w:rFonts w:ascii="Times New Roman" w:hAnsi="Times New Roman" w:cs="Times New Roman"/>
              </w:rPr>
              <w:t>ериодичность оплаты основного долга</w:t>
            </w:r>
          </w:p>
        </w:tc>
        <w:tc>
          <w:tcPr>
            <w:tcW w:w="4786" w:type="dxa"/>
          </w:tcPr>
          <w:p w14:paraId="75CCC29F" w14:textId="77777777" w:rsidR="00C70DB2" w:rsidRPr="00D92D0A" w:rsidRDefault="00C70DB2" w:rsidP="006168B7">
            <w:pPr>
              <w:rPr>
                <w:rFonts w:ascii="Times New Roman" w:hAnsi="Times New Roman" w:cs="Times New Roman"/>
              </w:rPr>
            </w:pPr>
            <w:r>
              <w:rPr>
                <w:rFonts w:ascii="Times New Roman" w:hAnsi="Times New Roman" w:cs="Times New Roman"/>
              </w:rPr>
              <w:t>Ежемесячно / ежеквартально</w:t>
            </w:r>
          </w:p>
        </w:tc>
      </w:tr>
      <w:tr w:rsidR="00C70DB2" w:rsidRPr="00D92D0A" w14:paraId="42F90FA8" w14:textId="77777777" w:rsidTr="006168B7">
        <w:tc>
          <w:tcPr>
            <w:tcW w:w="4785" w:type="dxa"/>
          </w:tcPr>
          <w:p w14:paraId="56E862C8" w14:textId="77777777" w:rsidR="00C70DB2" w:rsidRPr="00D92D0A" w:rsidRDefault="00BF7122" w:rsidP="006168B7">
            <w:pPr>
              <w:rPr>
                <w:rFonts w:ascii="Times New Roman" w:hAnsi="Times New Roman" w:cs="Times New Roman"/>
              </w:rPr>
            </w:pPr>
            <w:r>
              <w:rPr>
                <w:rFonts w:ascii="Times New Roman" w:hAnsi="Times New Roman" w:cs="Times New Roman"/>
              </w:rPr>
              <w:t>П</w:t>
            </w:r>
            <w:r w:rsidR="00C70DB2">
              <w:rPr>
                <w:rFonts w:ascii="Times New Roman" w:hAnsi="Times New Roman" w:cs="Times New Roman"/>
              </w:rPr>
              <w:t>ериодичность оплаты процентов за пользование займом</w:t>
            </w:r>
          </w:p>
        </w:tc>
        <w:tc>
          <w:tcPr>
            <w:tcW w:w="4786" w:type="dxa"/>
          </w:tcPr>
          <w:p w14:paraId="2C22829A" w14:textId="77777777" w:rsidR="00C70DB2" w:rsidRPr="00D92D0A" w:rsidRDefault="00C70DB2" w:rsidP="006168B7">
            <w:pPr>
              <w:rPr>
                <w:rFonts w:ascii="Times New Roman" w:hAnsi="Times New Roman" w:cs="Times New Roman"/>
              </w:rPr>
            </w:pPr>
            <w:r>
              <w:rPr>
                <w:rFonts w:ascii="Times New Roman" w:hAnsi="Times New Roman" w:cs="Times New Roman"/>
              </w:rPr>
              <w:t>Ежемесячно</w:t>
            </w:r>
          </w:p>
        </w:tc>
      </w:tr>
      <w:tr w:rsidR="00C70DB2" w:rsidRPr="00D92D0A" w14:paraId="5CCE293C" w14:textId="77777777" w:rsidTr="006168B7">
        <w:tc>
          <w:tcPr>
            <w:tcW w:w="4785" w:type="dxa"/>
          </w:tcPr>
          <w:p w14:paraId="67DA8555" w14:textId="77777777" w:rsidR="00C70DB2" w:rsidRPr="00D92D0A" w:rsidRDefault="00BF7122" w:rsidP="006168B7">
            <w:pPr>
              <w:rPr>
                <w:rFonts w:ascii="Times New Roman" w:hAnsi="Times New Roman" w:cs="Times New Roman"/>
              </w:rPr>
            </w:pPr>
            <w:r>
              <w:rPr>
                <w:rFonts w:ascii="Times New Roman" w:hAnsi="Times New Roman" w:cs="Times New Roman"/>
              </w:rPr>
              <w:t>О</w:t>
            </w:r>
            <w:r w:rsidR="00C70DB2">
              <w:rPr>
                <w:rFonts w:ascii="Times New Roman" w:hAnsi="Times New Roman" w:cs="Times New Roman"/>
              </w:rPr>
              <w:t>тсрочка по оплате основного долга</w:t>
            </w:r>
          </w:p>
        </w:tc>
        <w:tc>
          <w:tcPr>
            <w:tcW w:w="4786" w:type="dxa"/>
          </w:tcPr>
          <w:p w14:paraId="4539FDE6" w14:textId="77777777" w:rsidR="00C70DB2" w:rsidRPr="00D92D0A" w:rsidRDefault="00C70DB2" w:rsidP="006168B7">
            <w:pPr>
              <w:rPr>
                <w:rFonts w:ascii="Times New Roman" w:hAnsi="Times New Roman" w:cs="Times New Roman"/>
              </w:rPr>
            </w:pPr>
            <w:r>
              <w:rPr>
                <w:rFonts w:ascii="Times New Roman" w:hAnsi="Times New Roman" w:cs="Times New Roman"/>
              </w:rPr>
              <w:t>Не более 3 месяцев</w:t>
            </w:r>
          </w:p>
        </w:tc>
      </w:tr>
      <w:tr w:rsidR="000C621D" w:rsidRPr="00D92D0A" w14:paraId="2DCE8924" w14:textId="77777777" w:rsidTr="006168B7">
        <w:tc>
          <w:tcPr>
            <w:tcW w:w="4785" w:type="dxa"/>
          </w:tcPr>
          <w:p w14:paraId="6C10C3FA" w14:textId="77777777" w:rsidR="000C621D" w:rsidRPr="00D92D0A" w:rsidRDefault="00BF7122" w:rsidP="007F256F">
            <w:pPr>
              <w:rPr>
                <w:rFonts w:ascii="Times New Roman" w:hAnsi="Times New Roman" w:cs="Times New Roman"/>
              </w:rPr>
            </w:pPr>
            <w:r>
              <w:rPr>
                <w:rFonts w:ascii="Times New Roman" w:hAnsi="Times New Roman" w:cs="Times New Roman"/>
              </w:rPr>
              <w:t>С</w:t>
            </w:r>
            <w:r w:rsidR="000C621D" w:rsidRPr="00D92D0A">
              <w:rPr>
                <w:rFonts w:ascii="Times New Roman" w:hAnsi="Times New Roman" w:cs="Times New Roman"/>
              </w:rPr>
              <w:t xml:space="preserve">мета Проекта </w:t>
            </w:r>
          </w:p>
        </w:tc>
        <w:tc>
          <w:tcPr>
            <w:tcW w:w="4786" w:type="dxa"/>
          </w:tcPr>
          <w:p w14:paraId="5A3B3E36" w14:textId="267FE839" w:rsidR="000C621D" w:rsidRPr="00D92D0A" w:rsidRDefault="000C621D" w:rsidP="00696E05">
            <w:pPr>
              <w:rPr>
                <w:rFonts w:ascii="Times New Roman" w:hAnsi="Times New Roman" w:cs="Times New Roman"/>
              </w:rPr>
            </w:pPr>
            <w:r w:rsidRPr="00D92D0A">
              <w:rPr>
                <w:rFonts w:ascii="Times New Roman" w:hAnsi="Times New Roman" w:cs="Times New Roman"/>
              </w:rPr>
              <w:t xml:space="preserve">Не менее </w:t>
            </w:r>
            <w:r w:rsidR="00696E05">
              <w:rPr>
                <w:rFonts w:ascii="Times New Roman" w:hAnsi="Times New Roman" w:cs="Times New Roman"/>
              </w:rPr>
              <w:t>7</w:t>
            </w:r>
            <w:r w:rsidRPr="00D92D0A">
              <w:rPr>
                <w:rFonts w:ascii="Times New Roman" w:hAnsi="Times New Roman" w:cs="Times New Roman"/>
              </w:rPr>
              <w:t> </w:t>
            </w:r>
            <w:r w:rsidR="00696E05">
              <w:rPr>
                <w:rFonts w:ascii="Times New Roman" w:hAnsi="Times New Roman" w:cs="Times New Roman"/>
              </w:rPr>
              <w:t>50</w:t>
            </w:r>
            <w:r w:rsidR="00804D75" w:rsidRPr="00D92D0A">
              <w:rPr>
                <w:rFonts w:ascii="Times New Roman" w:hAnsi="Times New Roman" w:cs="Times New Roman"/>
              </w:rPr>
              <w:t>0</w:t>
            </w:r>
            <w:r w:rsidRPr="00D92D0A">
              <w:rPr>
                <w:rFonts w:ascii="Times New Roman" w:hAnsi="Times New Roman" w:cs="Times New Roman"/>
              </w:rPr>
              <w:t xml:space="preserve"> тыс.</w:t>
            </w:r>
            <w:r w:rsidR="008646A4">
              <w:rPr>
                <w:rFonts w:ascii="Times New Roman" w:hAnsi="Times New Roman" w:cs="Times New Roman"/>
              </w:rPr>
              <w:t xml:space="preserve"> </w:t>
            </w:r>
            <w:r w:rsidRPr="00D92D0A">
              <w:rPr>
                <w:rFonts w:ascii="Times New Roman" w:hAnsi="Times New Roman" w:cs="Times New Roman"/>
              </w:rPr>
              <w:t>руб.</w:t>
            </w:r>
          </w:p>
        </w:tc>
      </w:tr>
      <w:tr w:rsidR="000C621D" w:rsidRPr="00D92D0A" w14:paraId="0451E8BE" w14:textId="77777777" w:rsidTr="006168B7">
        <w:tc>
          <w:tcPr>
            <w:tcW w:w="4785" w:type="dxa"/>
          </w:tcPr>
          <w:p w14:paraId="676FF6A7" w14:textId="77777777" w:rsidR="000C621D" w:rsidRPr="00D92D0A" w:rsidRDefault="00BF7122" w:rsidP="00AA25C1">
            <w:pPr>
              <w:rPr>
                <w:rFonts w:ascii="Times New Roman" w:hAnsi="Times New Roman" w:cs="Times New Roman"/>
              </w:rPr>
            </w:pPr>
            <w:r>
              <w:rPr>
                <w:rFonts w:ascii="Times New Roman" w:hAnsi="Times New Roman" w:cs="Times New Roman"/>
              </w:rPr>
              <w:t>Р</w:t>
            </w:r>
            <w:r w:rsidR="000C621D" w:rsidRPr="00D92D0A">
              <w:rPr>
                <w:rFonts w:ascii="Times New Roman" w:hAnsi="Times New Roman" w:cs="Times New Roman"/>
              </w:rPr>
              <w:t>азмер софинансирования</w:t>
            </w:r>
            <w:r w:rsidR="00696E05">
              <w:rPr>
                <w:rFonts w:ascii="Times New Roman" w:hAnsi="Times New Roman" w:cs="Times New Roman"/>
              </w:rPr>
              <w:t>:</w:t>
            </w:r>
          </w:p>
        </w:tc>
        <w:tc>
          <w:tcPr>
            <w:tcW w:w="4786" w:type="dxa"/>
          </w:tcPr>
          <w:p w14:paraId="4D5656EF" w14:textId="77777777" w:rsidR="000C621D" w:rsidRPr="00D92D0A" w:rsidRDefault="000C621D" w:rsidP="00E4288B">
            <w:pPr>
              <w:rPr>
                <w:rFonts w:ascii="Times New Roman" w:hAnsi="Times New Roman" w:cs="Times New Roman"/>
              </w:rPr>
            </w:pPr>
          </w:p>
        </w:tc>
      </w:tr>
      <w:tr w:rsidR="00696E05" w:rsidRPr="00D92D0A" w14:paraId="28F5E720" w14:textId="77777777" w:rsidTr="006168B7">
        <w:tc>
          <w:tcPr>
            <w:tcW w:w="4785" w:type="dxa"/>
          </w:tcPr>
          <w:p w14:paraId="555A734D" w14:textId="77777777" w:rsidR="00696E05" w:rsidRDefault="00696E05" w:rsidP="00696E05">
            <w:pPr>
              <w:rPr>
                <w:rFonts w:ascii="Times New Roman" w:hAnsi="Times New Roman" w:cs="Times New Roman"/>
              </w:rPr>
            </w:pPr>
            <w:r>
              <w:rPr>
                <w:rFonts w:ascii="Times New Roman" w:hAnsi="Times New Roman" w:cs="Times New Roman"/>
              </w:rPr>
              <w:t xml:space="preserve"> - при сумме займа от 5 000 тыс. руб. до 20 000 </w:t>
            </w:r>
            <w:proofErr w:type="spellStart"/>
            <w:r>
              <w:rPr>
                <w:rFonts w:ascii="Times New Roman" w:hAnsi="Times New Roman" w:cs="Times New Roman"/>
              </w:rPr>
              <w:t>тыс.руб</w:t>
            </w:r>
            <w:proofErr w:type="spellEnd"/>
            <w:r>
              <w:rPr>
                <w:rFonts w:ascii="Times New Roman" w:hAnsi="Times New Roman" w:cs="Times New Roman"/>
              </w:rPr>
              <w:t>. (включительно)</w:t>
            </w:r>
          </w:p>
        </w:tc>
        <w:tc>
          <w:tcPr>
            <w:tcW w:w="4786" w:type="dxa"/>
          </w:tcPr>
          <w:p w14:paraId="0A06263F" w14:textId="77777777" w:rsidR="00696E05" w:rsidRPr="00D92D0A" w:rsidRDefault="00696E05" w:rsidP="00696E05">
            <w:pPr>
              <w:rPr>
                <w:rFonts w:ascii="Times New Roman" w:hAnsi="Times New Roman" w:cs="Times New Roman"/>
              </w:rPr>
            </w:pPr>
            <w:r>
              <w:rPr>
                <w:rFonts w:ascii="Times New Roman" w:hAnsi="Times New Roman" w:cs="Times New Roman"/>
              </w:rPr>
              <w:t>Не менее 50</w:t>
            </w:r>
            <w:r w:rsidRPr="00D92D0A">
              <w:rPr>
                <w:rFonts w:ascii="Times New Roman" w:hAnsi="Times New Roman" w:cs="Times New Roman"/>
              </w:rPr>
              <w:t>% от суммы Проекта</w:t>
            </w:r>
          </w:p>
        </w:tc>
      </w:tr>
      <w:tr w:rsidR="00696E05" w:rsidRPr="00D92D0A" w14:paraId="7843A113" w14:textId="77777777" w:rsidTr="006168B7">
        <w:tc>
          <w:tcPr>
            <w:tcW w:w="4785" w:type="dxa"/>
          </w:tcPr>
          <w:p w14:paraId="7CB07EDA" w14:textId="77777777" w:rsidR="00696E05" w:rsidRDefault="00696E05" w:rsidP="00696E05">
            <w:pPr>
              <w:rPr>
                <w:rFonts w:ascii="Times New Roman" w:hAnsi="Times New Roman" w:cs="Times New Roman"/>
              </w:rPr>
            </w:pPr>
            <w:r>
              <w:rPr>
                <w:rFonts w:ascii="Times New Roman" w:hAnsi="Times New Roman" w:cs="Times New Roman"/>
              </w:rPr>
              <w:t xml:space="preserve">- при сумме займа от 20 001 тыс. руб. до 30 000 </w:t>
            </w:r>
            <w:proofErr w:type="spellStart"/>
            <w:r>
              <w:rPr>
                <w:rFonts w:ascii="Times New Roman" w:hAnsi="Times New Roman" w:cs="Times New Roman"/>
              </w:rPr>
              <w:t>тыс.руб</w:t>
            </w:r>
            <w:proofErr w:type="spellEnd"/>
            <w:r>
              <w:rPr>
                <w:rFonts w:ascii="Times New Roman" w:hAnsi="Times New Roman" w:cs="Times New Roman"/>
              </w:rPr>
              <w:t>. (включительно)</w:t>
            </w:r>
          </w:p>
        </w:tc>
        <w:tc>
          <w:tcPr>
            <w:tcW w:w="4786" w:type="dxa"/>
          </w:tcPr>
          <w:p w14:paraId="19FF754C" w14:textId="77777777" w:rsidR="00696E05" w:rsidRPr="00D92D0A" w:rsidRDefault="00696E05" w:rsidP="00696E05">
            <w:pPr>
              <w:rPr>
                <w:rFonts w:ascii="Times New Roman" w:hAnsi="Times New Roman" w:cs="Times New Roman"/>
              </w:rPr>
            </w:pPr>
            <w:r>
              <w:rPr>
                <w:rFonts w:ascii="Times New Roman" w:hAnsi="Times New Roman" w:cs="Times New Roman"/>
              </w:rPr>
              <w:t>Не менее 35</w:t>
            </w:r>
            <w:r w:rsidRPr="00D92D0A">
              <w:rPr>
                <w:rFonts w:ascii="Times New Roman" w:hAnsi="Times New Roman" w:cs="Times New Roman"/>
              </w:rPr>
              <w:t>% от суммы Проекта</w:t>
            </w:r>
          </w:p>
        </w:tc>
      </w:tr>
      <w:tr w:rsidR="00696E05" w:rsidRPr="00D92D0A" w14:paraId="6C3DBC1A" w14:textId="77777777" w:rsidTr="006168B7">
        <w:tc>
          <w:tcPr>
            <w:tcW w:w="4785" w:type="dxa"/>
          </w:tcPr>
          <w:p w14:paraId="55874625" w14:textId="77777777" w:rsidR="00696E05" w:rsidRDefault="00696E05" w:rsidP="00696E05">
            <w:pPr>
              <w:rPr>
                <w:rFonts w:ascii="Times New Roman" w:hAnsi="Times New Roman" w:cs="Times New Roman"/>
              </w:rPr>
            </w:pPr>
            <w:r>
              <w:rPr>
                <w:rFonts w:ascii="Times New Roman" w:hAnsi="Times New Roman" w:cs="Times New Roman"/>
              </w:rPr>
              <w:t>- при сумме займа от свыше 30 000 тыс. руб.</w:t>
            </w:r>
          </w:p>
        </w:tc>
        <w:tc>
          <w:tcPr>
            <w:tcW w:w="4786" w:type="dxa"/>
          </w:tcPr>
          <w:p w14:paraId="419AD72D" w14:textId="77777777" w:rsidR="00696E05" w:rsidRPr="00D92D0A" w:rsidRDefault="00696E05" w:rsidP="00696E05">
            <w:pPr>
              <w:rPr>
                <w:rFonts w:ascii="Times New Roman" w:hAnsi="Times New Roman" w:cs="Times New Roman"/>
              </w:rPr>
            </w:pPr>
            <w:r w:rsidRPr="00D92D0A">
              <w:rPr>
                <w:rFonts w:ascii="Times New Roman" w:hAnsi="Times New Roman" w:cs="Times New Roman"/>
              </w:rPr>
              <w:t>Не менее 2</w:t>
            </w:r>
            <w:r>
              <w:rPr>
                <w:rFonts w:ascii="Times New Roman" w:hAnsi="Times New Roman" w:cs="Times New Roman"/>
              </w:rPr>
              <w:t>0</w:t>
            </w:r>
            <w:r w:rsidRPr="00D92D0A">
              <w:rPr>
                <w:rFonts w:ascii="Times New Roman" w:hAnsi="Times New Roman" w:cs="Times New Roman"/>
              </w:rPr>
              <w:t>% от суммы Проекта</w:t>
            </w:r>
          </w:p>
        </w:tc>
      </w:tr>
      <w:tr w:rsidR="000C621D" w:rsidRPr="00D92D0A" w14:paraId="07878284" w14:textId="77777777" w:rsidTr="006168B7">
        <w:tc>
          <w:tcPr>
            <w:tcW w:w="4785" w:type="dxa"/>
          </w:tcPr>
          <w:p w14:paraId="17661AB9" w14:textId="77777777" w:rsidR="00E4288B" w:rsidRDefault="00E4288B" w:rsidP="00E4288B">
            <w:pPr>
              <w:rPr>
                <w:rFonts w:ascii="Times New Roman" w:hAnsi="Times New Roman" w:cs="Times New Roman"/>
                <w:color w:val="000000"/>
                <w:shd w:val="clear" w:color="auto" w:fill="FFFFFF"/>
              </w:rPr>
            </w:pPr>
            <w:r w:rsidRPr="00D92D0A">
              <w:rPr>
                <w:rFonts w:ascii="Times New Roman" w:hAnsi="Times New Roman" w:cs="Times New Roman"/>
                <w:color w:val="000000"/>
                <w:shd w:val="clear" w:color="auto" w:fill="FFFFFF"/>
              </w:rPr>
              <w:t>Наличие обязательств со стороны Заявителя</w:t>
            </w:r>
            <w:r w:rsidR="00916565">
              <w:rPr>
                <w:rFonts w:ascii="Times New Roman" w:hAnsi="Times New Roman" w:cs="Times New Roman"/>
                <w:color w:val="000000"/>
                <w:shd w:val="clear" w:color="auto" w:fill="FFFFFF"/>
              </w:rPr>
              <w:t xml:space="preserve"> по достижению следующего</w:t>
            </w:r>
            <w:r w:rsidRPr="00D92D0A">
              <w:rPr>
                <w:rFonts w:ascii="Times New Roman" w:hAnsi="Times New Roman" w:cs="Times New Roman"/>
                <w:color w:val="000000"/>
                <w:shd w:val="clear" w:color="auto" w:fill="FFFFFF"/>
              </w:rPr>
              <w:t xml:space="preserve"> целев</w:t>
            </w:r>
            <w:r w:rsidR="00916565">
              <w:rPr>
                <w:rFonts w:ascii="Times New Roman" w:hAnsi="Times New Roman" w:cs="Times New Roman"/>
                <w:color w:val="000000"/>
                <w:shd w:val="clear" w:color="auto" w:fill="FFFFFF"/>
              </w:rPr>
              <w:t>ого</w:t>
            </w:r>
            <w:r w:rsidRPr="00D92D0A">
              <w:rPr>
                <w:rFonts w:ascii="Times New Roman" w:hAnsi="Times New Roman" w:cs="Times New Roman"/>
                <w:color w:val="000000"/>
                <w:shd w:val="clear" w:color="auto" w:fill="FFFFFF"/>
              </w:rPr>
              <w:t xml:space="preserve"> показател</w:t>
            </w:r>
            <w:r w:rsidR="00916565">
              <w:rPr>
                <w:rFonts w:ascii="Times New Roman" w:hAnsi="Times New Roman" w:cs="Times New Roman"/>
                <w:color w:val="000000"/>
                <w:shd w:val="clear" w:color="auto" w:fill="FFFFFF"/>
              </w:rPr>
              <w:t>я эффективности использования заемных средств</w:t>
            </w:r>
            <w:r w:rsidRPr="00D92D0A">
              <w:rPr>
                <w:rFonts w:ascii="Times New Roman" w:hAnsi="Times New Roman" w:cs="Times New Roman"/>
                <w:color w:val="000000"/>
                <w:shd w:val="clear" w:color="auto" w:fill="FFFFFF"/>
              </w:rPr>
              <w:t>:</w:t>
            </w:r>
          </w:p>
          <w:p w14:paraId="431BE6A0" w14:textId="77777777" w:rsidR="00916565" w:rsidRPr="00D92D0A" w:rsidRDefault="00916565" w:rsidP="00E4288B">
            <w:pPr>
              <w:rPr>
                <w:rFonts w:ascii="Times New Roman" w:hAnsi="Times New Roman" w:cs="Times New Roman"/>
                <w:color w:val="000000"/>
                <w:shd w:val="clear" w:color="auto" w:fill="FFFFFF"/>
              </w:rPr>
            </w:pPr>
          </w:p>
          <w:p w14:paraId="206B638A" w14:textId="10B0D236" w:rsidR="000C621D" w:rsidRPr="00D92D0A" w:rsidRDefault="000C621D" w:rsidP="00916565">
            <w:pPr>
              <w:jc w:val="both"/>
              <w:rPr>
                <w:rFonts w:ascii="Times New Roman" w:hAnsi="Times New Roman" w:cs="Times New Roman"/>
              </w:rPr>
            </w:pPr>
            <w:r w:rsidRPr="00D92D0A">
              <w:rPr>
                <w:rFonts w:ascii="Times New Roman" w:hAnsi="Times New Roman" w:cs="Times New Roman"/>
              </w:rPr>
              <w:t xml:space="preserve"> - </w:t>
            </w:r>
            <w:r w:rsidRPr="00D92D0A">
              <w:rPr>
                <w:rFonts w:ascii="Times New Roman" w:hAnsi="Times New Roman" w:cs="Times New Roman"/>
                <w:color w:val="000000"/>
                <w:shd w:val="clear" w:color="auto" w:fill="FFFFFF"/>
              </w:rPr>
              <w:t xml:space="preserve">Объём привлечённых инвестиций получателем займа для реализации инвестиционных проектов </w:t>
            </w:r>
          </w:p>
        </w:tc>
        <w:tc>
          <w:tcPr>
            <w:tcW w:w="4786" w:type="dxa"/>
          </w:tcPr>
          <w:p w14:paraId="52D66FB0" w14:textId="40055A5F" w:rsidR="000C621D" w:rsidRPr="00D92D0A" w:rsidRDefault="00696E05" w:rsidP="00EB7CAD">
            <w:pPr>
              <w:rPr>
                <w:rFonts w:ascii="Times New Roman" w:hAnsi="Times New Roman" w:cs="Times New Roman"/>
              </w:rPr>
            </w:pPr>
            <w:r>
              <w:rPr>
                <w:rFonts w:ascii="Times New Roman" w:hAnsi="Times New Roman" w:cs="Times New Roman"/>
              </w:rPr>
              <w:t xml:space="preserve">Не </w:t>
            </w:r>
            <w:r w:rsidRPr="00A71265">
              <w:rPr>
                <w:rFonts w:ascii="Times New Roman" w:hAnsi="Times New Roman" w:cs="Times New Roman"/>
              </w:rPr>
              <w:t xml:space="preserve">менее </w:t>
            </w:r>
            <w:r w:rsidR="00B75688" w:rsidRPr="00A71265">
              <w:rPr>
                <w:rFonts w:ascii="Times New Roman" w:hAnsi="Times New Roman" w:cs="Times New Roman"/>
              </w:rPr>
              <w:t>0</w:t>
            </w:r>
            <w:r w:rsidR="000C621D" w:rsidRPr="00A71265">
              <w:rPr>
                <w:rFonts w:ascii="Times New Roman" w:hAnsi="Times New Roman" w:cs="Times New Roman"/>
              </w:rPr>
              <w:t>,2</w:t>
            </w:r>
            <w:r w:rsidR="00EB7CAD" w:rsidRPr="00A71265">
              <w:rPr>
                <w:rFonts w:ascii="Times New Roman" w:hAnsi="Times New Roman" w:cs="Times New Roman"/>
              </w:rPr>
              <w:t>0</w:t>
            </w:r>
            <w:r w:rsidR="000C621D" w:rsidRPr="00A71265">
              <w:rPr>
                <w:rFonts w:ascii="Times New Roman" w:hAnsi="Times New Roman" w:cs="Times New Roman"/>
              </w:rPr>
              <w:t xml:space="preserve"> руб. на 1 руб. заемных</w:t>
            </w:r>
            <w:r w:rsidR="000C621D" w:rsidRPr="00D92D0A">
              <w:rPr>
                <w:rFonts w:ascii="Times New Roman" w:hAnsi="Times New Roman" w:cs="Times New Roman"/>
              </w:rPr>
              <w:t xml:space="preserve"> средств</w:t>
            </w:r>
          </w:p>
        </w:tc>
      </w:tr>
      <w:tr w:rsidR="000C621D" w:rsidRPr="00D92D0A" w14:paraId="02AE155D" w14:textId="77777777" w:rsidTr="006168B7">
        <w:tc>
          <w:tcPr>
            <w:tcW w:w="4785" w:type="dxa"/>
          </w:tcPr>
          <w:p w14:paraId="74A6B1AE" w14:textId="77777777" w:rsidR="000C621D" w:rsidRPr="00D92D0A" w:rsidRDefault="00804D75" w:rsidP="006168B7">
            <w:pPr>
              <w:rPr>
                <w:rFonts w:ascii="Times New Roman" w:hAnsi="Times New Roman" w:cs="Times New Roman"/>
              </w:rPr>
            </w:pPr>
            <w:r w:rsidRPr="00D92D0A">
              <w:rPr>
                <w:rFonts w:ascii="Times New Roman" w:hAnsi="Times New Roman" w:cs="Times New Roman"/>
              </w:rPr>
              <w:t>Целевое использование средств займа</w:t>
            </w:r>
          </w:p>
        </w:tc>
        <w:tc>
          <w:tcPr>
            <w:tcW w:w="4786" w:type="dxa"/>
          </w:tcPr>
          <w:p w14:paraId="39FB551A" w14:textId="77777777" w:rsidR="00804D75" w:rsidRDefault="00804D75" w:rsidP="00804D75">
            <w:pPr>
              <w:pStyle w:val="a4"/>
              <w:numPr>
                <w:ilvl w:val="0"/>
                <w:numId w:val="6"/>
              </w:numPr>
              <w:spacing w:after="0" w:line="240" w:lineRule="auto"/>
              <w:ind w:left="0" w:firstLine="360"/>
              <w:jc w:val="both"/>
              <w:rPr>
                <w:rFonts w:ascii="Times New Roman" w:hAnsi="Times New Roman" w:cs="Times New Roman"/>
              </w:rPr>
            </w:pPr>
            <w:r w:rsidRPr="00D92D0A">
              <w:rPr>
                <w:rFonts w:ascii="Times New Roman" w:hAnsi="Times New Roman" w:cs="Times New Roman"/>
              </w:rPr>
              <w:t>Приобретение в собственность Заемщика для целей инвестиционного развития нового российского и/или импортного оборудования, его монтаж и наладка.</w:t>
            </w:r>
            <w:bookmarkStart w:id="0" w:name="_Hlk80361119"/>
            <w:r w:rsidRPr="00D92D0A">
              <w:rPr>
                <w:rFonts w:ascii="Times New Roman" w:hAnsi="Times New Roman" w:cs="Times New Roman"/>
              </w:rPr>
              <w:t xml:space="preserve"> </w:t>
            </w:r>
            <w:bookmarkEnd w:id="0"/>
            <w:r w:rsidR="00EB7CAD">
              <w:rPr>
                <w:rFonts w:ascii="Times New Roman" w:hAnsi="Times New Roman" w:cs="Times New Roman"/>
              </w:rPr>
              <w:t>(не менее 7</w:t>
            </w:r>
            <w:r w:rsidRPr="00D92D0A">
              <w:rPr>
                <w:rFonts w:ascii="Times New Roman" w:hAnsi="Times New Roman" w:cs="Times New Roman"/>
              </w:rPr>
              <w:t>0% от суммы займа);</w:t>
            </w:r>
          </w:p>
          <w:p w14:paraId="79FC87B4" w14:textId="77777777" w:rsidR="00EB7CAD" w:rsidRPr="00D92D0A" w:rsidRDefault="00EB7CAD" w:rsidP="00EB7CAD">
            <w:pPr>
              <w:pStyle w:val="a4"/>
              <w:spacing w:after="0" w:line="240" w:lineRule="auto"/>
              <w:ind w:left="360"/>
              <w:jc w:val="both"/>
              <w:rPr>
                <w:rFonts w:ascii="Times New Roman" w:hAnsi="Times New Roman" w:cs="Times New Roman"/>
              </w:rPr>
            </w:pPr>
          </w:p>
          <w:p w14:paraId="67EF0C9C" w14:textId="77777777" w:rsidR="00804D75" w:rsidRPr="00D92D0A" w:rsidRDefault="00804D75" w:rsidP="00804D75">
            <w:pPr>
              <w:pStyle w:val="a4"/>
              <w:numPr>
                <w:ilvl w:val="0"/>
                <w:numId w:val="5"/>
              </w:numPr>
              <w:spacing w:after="0"/>
              <w:jc w:val="both"/>
              <w:rPr>
                <w:rFonts w:ascii="Times New Roman" w:hAnsi="Times New Roman" w:cs="Times New Roman"/>
                <w:vanish/>
              </w:rPr>
            </w:pPr>
          </w:p>
          <w:p w14:paraId="58C39F34" w14:textId="77777777" w:rsidR="00804D75" w:rsidRPr="00D92D0A" w:rsidRDefault="00804D75" w:rsidP="00804D75">
            <w:pPr>
              <w:pStyle w:val="a4"/>
              <w:numPr>
                <w:ilvl w:val="0"/>
                <w:numId w:val="5"/>
              </w:numPr>
              <w:spacing w:after="0"/>
              <w:jc w:val="both"/>
              <w:rPr>
                <w:rFonts w:ascii="Times New Roman" w:hAnsi="Times New Roman" w:cs="Times New Roman"/>
                <w:vanish/>
              </w:rPr>
            </w:pPr>
          </w:p>
          <w:p w14:paraId="63BF6242" w14:textId="77777777" w:rsidR="00804D75" w:rsidRPr="00D92D0A" w:rsidRDefault="00804D75" w:rsidP="00804D75">
            <w:pPr>
              <w:pStyle w:val="a4"/>
              <w:numPr>
                <w:ilvl w:val="0"/>
                <w:numId w:val="5"/>
              </w:numPr>
              <w:spacing w:after="0"/>
              <w:jc w:val="both"/>
              <w:rPr>
                <w:rFonts w:ascii="Times New Roman" w:hAnsi="Times New Roman" w:cs="Times New Roman"/>
                <w:vanish/>
              </w:rPr>
            </w:pPr>
          </w:p>
          <w:p w14:paraId="40296C0C" w14:textId="77777777" w:rsidR="00804D75" w:rsidRPr="00D92D0A" w:rsidRDefault="00804D75" w:rsidP="00804D75">
            <w:pPr>
              <w:pStyle w:val="a4"/>
              <w:numPr>
                <w:ilvl w:val="1"/>
                <w:numId w:val="5"/>
              </w:numPr>
              <w:spacing w:after="0"/>
              <w:jc w:val="both"/>
              <w:rPr>
                <w:rFonts w:ascii="Times New Roman" w:hAnsi="Times New Roman" w:cs="Times New Roman"/>
                <w:vanish/>
              </w:rPr>
            </w:pPr>
          </w:p>
          <w:p w14:paraId="1022DBAF" w14:textId="77777777" w:rsidR="00804D75" w:rsidRPr="00D92D0A" w:rsidRDefault="00804D75" w:rsidP="00804D75">
            <w:pPr>
              <w:pStyle w:val="a4"/>
              <w:numPr>
                <w:ilvl w:val="2"/>
                <w:numId w:val="5"/>
              </w:numPr>
              <w:spacing w:after="0"/>
              <w:jc w:val="both"/>
              <w:rPr>
                <w:rFonts w:ascii="Times New Roman" w:hAnsi="Times New Roman" w:cs="Times New Roman"/>
                <w:vanish/>
              </w:rPr>
            </w:pPr>
          </w:p>
          <w:p w14:paraId="24527B74" w14:textId="77777777" w:rsidR="00804D75" w:rsidRPr="00D92D0A" w:rsidRDefault="00804D75" w:rsidP="00D92D0A">
            <w:pPr>
              <w:pStyle w:val="a4"/>
              <w:tabs>
                <w:tab w:val="left" w:pos="1134"/>
              </w:tabs>
              <w:spacing w:after="0"/>
              <w:ind w:left="35" w:firstLine="325"/>
              <w:jc w:val="both"/>
              <w:rPr>
                <w:rFonts w:ascii="Times New Roman" w:hAnsi="Times New Roman" w:cs="Times New Roman"/>
              </w:rPr>
            </w:pPr>
            <w:r w:rsidRPr="00D92D0A">
              <w:rPr>
                <w:rFonts w:ascii="Times New Roman" w:hAnsi="Times New Roman" w:cs="Times New Roman"/>
              </w:rPr>
              <w:t>2. Приобретение комплектующих к оборудованию. (не более 20% от суммы займа);</w:t>
            </w:r>
          </w:p>
          <w:p w14:paraId="0B56D16F" w14:textId="77777777" w:rsidR="00804D75" w:rsidRPr="00D92D0A" w:rsidRDefault="00804D75" w:rsidP="00D92D0A">
            <w:pPr>
              <w:pStyle w:val="a4"/>
              <w:tabs>
                <w:tab w:val="left" w:pos="1134"/>
              </w:tabs>
              <w:spacing w:after="0"/>
              <w:ind w:left="35" w:firstLine="325"/>
              <w:jc w:val="both"/>
              <w:rPr>
                <w:rFonts w:ascii="Times New Roman" w:hAnsi="Times New Roman" w:cs="Times New Roman"/>
              </w:rPr>
            </w:pPr>
          </w:p>
          <w:p w14:paraId="1CAD3CF5" w14:textId="77777777" w:rsidR="00804D75" w:rsidRPr="00D92D0A" w:rsidRDefault="00804D75" w:rsidP="00D92D0A">
            <w:pPr>
              <w:tabs>
                <w:tab w:val="left" w:pos="1134"/>
              </w:tabs>
              <w:ind w:left="35" w:firstLine="325"/>
              <w:jc w:val="both"/>
              <w:rPr>
                <w:rFonts w:ascii="Times New Roman" w:hAnsi="Times New Roman" w:cs="Times New Roman"/>
              </w:rPr>
            </w:pPr>
            <w:r w:rsidRPr="00D92D0A">
              <w:rPr>
                <w:rFonts w:ascii="Times New Roman" w:hAnsi="Times New Roman" w:cs="Times New Roman"/>
              </w:rPr>
              <w:t>3. Приобретение и внедрение программно-аппаратных комплексов, необходимых для использования приобретаемого оборудования и технологического процесса производства. (не более 10% от суммы займа);</w:t>
            </w:r>
          </w:p>
          <w:p w14:paraId="3D084E3B" w14:textId="77777777" w:rsidR="000C621D" w:rsidRPr="00EB7CAD" w:rsidRDefault="000C621D" w:rsidP="00EB7CAD">
            <w:pPr>
              <w:tabs>
                <w:tab w:val="left" w:pos="1134"/>
              </w:tabs>
              <w:jc w:val="both"/>
              <w:rPr>
                <w:rFonts w:ascii="Times New Roman" w:hAnsi="Times New Roman" w:cs="Times New Roman"/>
              </w:rPr>
            </w:pPr>
          </w:p>
        </w:tc>
      </w:tr>
      <w:tr w:rsidR="004947F3" w:rsidRPr="00D92D0A" w14:paraId="0BFF0D18" w14:textId="77777777" w:rsidTr="006168B7">
        <w:tc>
          <w:tcPr>
            <w:tcW w:w="4785" w:type="dxa"/>
          </w:tcPr>
          <w:p w14:paraId="6B7641C9" w14:textId="77777777" w:rsidR="004947F3" w:rsidRPr="00D92D0A" w:rsidRDefault="004947F3" w:rsidP="006168B7">
            <w:pPr>
              <w:rPr>
                <w:rFonts w:ascii="Times New Roman" w:hAnsi="Times New Roman" w:cs="Times New Roman"/>
              </w:rPr>
            </w:pPr>
            <w:r>
              <w:rPr>
                <w:rFonts w:ascii="Times New Roman" w:hAnsi="Times New Roman" w:cs="Times New Roman"/>
              </w:rPr>
              <w:t>Срок использования средств Займа</w:t>
            </w:r>
          </w:p>
        </w:tc>
        <w:tc>
          <w:tcPr>
            <w:tcW w:w="4786" w:type="dxa"/>
          </w:tcPr>
          <w:p w14:paraId="32C6B448" w14:textId="77777777" w:rsidR="004947F3" w:rsidRPr="00D92D0A" w:rsidRDefault="004947F3" w:rsidP="004947F3">
            <w:pPr>
              <w:pStyle w:val="a4"/>
              <w:spacing w:after="0" w:line="240" w:lineRule="auto"/>
              <w:ind w:left="35"/>
              <w:jc w:val="both"/>
              <w:rPr>
                <w:rFonts w:ascii="Times New Roman" w:hAnsi="Times New Roman" w:cs="Times New Roman"/>
              </w:rPr>
            </w:pPr>
            <w:r w:rsidRPr="004947F3">
              <w:rPr>
                <w:rFonts w:ascii="Times New Roman" w:hAnsi="Times New Roman" w:cs="Times New Roman"/>
              </w:rPr>
              <w:t>90 календарных дней с даты заключения Договора займа</w:t>
            </w:r>
          </w:p>
        </w:tc>
      </w:tr>
    </w:tbl>
    <w:p w14:paraId="52A60A83" w14:textId="77777777" w:rsidR="006168B7" w:rsidRDefault="006168B7" w:rsidP="006168B7">
      <w:pPr>
        <w:rPr>
          <w:rFonts w:ascii="Times New Roman" w:hAnsi="Times New Roman" w:cs="Times New Roman"/>
          <w:sz w:val="24"/>
          <w:szCs w:val="24"/>
        </w:rPr>
      </w:pPr>
    </w:p>
    <w:p w14:paraId="46EE37A7" w14:textId="77777777" w:rsidR="00696E05" w:rsidRPr="006168B7" w:rsidRDefault="00696E05" w:rsidP="006168B7">
      <w:pPr>
        <w:rPr>
          <w:rFonts w:ascii="Times New Roman" w:hAnsi="Times New Roman" w:cs="Times New Roman"/>
          <w:sz w:val="24"/>
          <w:szCs w:val="24"/>
        </w:rPr>
      </w:pPr>
    </w:p>
    <w:p w14:paraId="3BD9E95F" w14:textId="77777777" w:rsidR="00D92D0A" w:rsidRDefault="00D92D0A" w:rsidP="00804D75">
      <w:pPr>
        <w:spacing w:after="0"/>
        <w:ind w:firstLine="567"/>
        <w:rPr>
          <w:rFonts w:ascii="Times New Roman" w:hAnsi="Times New Roman" w:cs="Times New Roman"/>
          <w:b/>
          <w:sz w:val="24"/>
          <w:szCs w:val="24"/>
          <w:u w:val="single"/>
        </w:rPr>
      </w:pPr>
      <w:r w:rsidRPr="00D92D0A">
        <w:rPr>
          <w:rFonts w:ascii="Times New Roman" w:hAnsi="Times New Roman" w:cs="Times New Roman"/>
          <w:b/>
          <w:sz w:val="24"/>
          <w:szCs w:val="24"/>
          <w:u w:val="single"/>
        </w:rPr>
        <w:lastRenderedPageBreak/>
        <w:t>Условия софинансирования:</w:t>
      </w:r>
    </w:p>
    <w:p w14:paraId="31DAA3F9" w14:textId="77777777" w:rsidR="00D92D0A" w:rsidRDefault="00D92D0A" w:rsidP="00804D75">
      <w:pPr>
        <w:spacing w:after="0"/>
        <w:ind w:firstLine="567"/>
        <w:rPr>
          <w:rFonts w:ascii="Times New Roman" w:hAnsi="Times New Roman" w:cs="Times New Roman"/>
          <w:sz w:val="24"/>
          <w:szCs w:val="24"/>
        </w:rPr>
      </w:pPr>
      <w:proofErr w:type="gramStart"/>
      <w:r w:rsidRPr="00D92D0A">
        <w:rPr>
          <w:rFonts w:ascii="Times New Roman" w:hAnsi="Times New Roman" w:cs="Times New Roman"/>
          <w:sz w:val="24"/>
          <w:szCs w:val="24"/>
        </w:rPr>
        <w:t>Софинансирование  в</w:t>
      </w:r>
      <w:proofErr w:type="gramEnd"/>
      <w:r w:rsidRPr="00D92D0A">
        <w:rPr>
          <w:rFonts w:ascii="Times New Roman" w:hAnsi="Times New Roman" w:cs="Times New Roman"/>
          <w:sz w:val="24"/>
          <w:szCs w:val="24"/>
        </w:rPr>
        <w:t xml:space="preserve"> </w:t>
      </w:r>
      <w:proofErr w:type="gramStart"/>
      <w:r w:rsidRPr="00D92D0A">
        <w:rPr>
          <w:rFonts w:ascii="Times New Roman" w:hAnsi="Times New Roman" w:cs="Times New Roman"/>
          <w:sz w:val="24"/>
          <w:szCs w:val="24"/>
        </w:rPr>
        <w:t xml:space="preserve">размере  </w:t>
      </w:r>
      <w:r w:rsidR="00696E05">
        <w:rPr>
          <w:rFonts w:ascii="Times New Roman" w:hAnsi="Times New Roman" w:cs="Times New Roman"/>
          <w:sz w:val="24"/>
          <w:szCs w:val="24"/>
        </w:rPr>
        <w:t>от</w:t>
      </w:r>
      <w:proofErr w:type="gramEnd"/>
      <w:r w:rsidRPr="00D92D0A">
        <w:rPr>
          <w:rFonts w:ascii="Times New Roman" w:hAnsi="Times New Roman" w:cs="Times New Roman"/>
          <w:sz w:val="24"/>
          <w:szCs w:val="24"/>
        </w:rPr>
        <w:t xml:space="preserve"> 2</w:t>
      </w:r>
      <w:r w:rsidR="00EB7CAD">
        <w:rPr>
          <w:rFonts w:ascii="Times New Roman" w:hAnsi="Times New Roman" w:cs="Times New Roman"/>
          <w:sz w:val="24"/>
          <w:szCs w:val="24"/>
        </w:rPr>
        <w:t>0</w:t>
      </w:r>
      <w:r w:rsidRPr="00D92D0A">
        <w:rPr>
          <w:rFonts w:ascii="Times New Roman" w:hAnsi="Times New Roman" w:cs="Times New Roman"/>
          <w:sz w:val="24"/>
          <w:szCs w:val="24"/>
        </w:rPr>
        <w:t>%</w:t>
      </w:r>
      <w:r w:rsidR="00696E05">
        <w:rPr>
          <w:rFonts w:ascii="Times New Roman" w:hAnsi="Times New Roman" w:cs="Times New Roman"/>
          <w:sz w:val="24"/>
          <w:szCs w:val="24"/>
        </w:rPr>
        <w:t xml:space="preserve"> до 50%</w:t>
      </w:r>
      <w:r w:rsidRPr="00D92D0A">
        <w:rPr>
          <w:rFonts w:ascii="Times New Roman" w:hAnsi="Times New Roman" w:cs="Times New Roman"/>
          <w:sz w:val="24"/>
          <w:szCs w:val="24"/>
        </w:rPr>
        <w:t xml:space="preserve"> от сметы Проекта обеспечиваются Заявителем за счет собственных и</w:t>
      </w:r>
      <w:bookmarkStart w:id="1" w:name="_Hlk110599948"/>
      <w:r w:rsidRPr="00D92D0A">
        <w:rPr>
          <w:rFonts w:ascii="Times New Roman" w:hAnsi="Times New Roman" w:cs="Times New Roman"/>
          <w:sz w:val="24"/>
          <w:szCs w:val="24"/>
        </w:rPr>
        <w:t xml:space="preserve">/или </w:t>
      </w:r>
      <w:bookmarkEnd w:id="1"/>
      <w:r w:rsidRPr="00D92D0A">
        <w:rPr>
          <w:rFonts w:ascii="Times New Roman" w:hAnsi="Times New Roman" w:cs="Times New Roman"/>
          <w:sz w:val="24"/>
          <w:szCs w:val="24"/>
        </w:rPr>
        <w:t>привлеченных средств;</w:t>
      </w:r>
    </w:p>
    <w:p w14:paraId="2BD165B8" w14:textId="049F1B83" w:rsidR="00804D75" w:rsidRPr="00D92D0A" w:rsidRDefault="00804D75" w:rsidP="00804D75">
      <w:pPr>
        <w:spacing w:after="0"/>
        <w:ind w:firstLine="567"/>
        <w:rPr>
          <w:rFonts w:ascii="Times New Roman" w:hAnsi="Times New Roman" w:cs="Times New Roman"/>
          <w:sz w:val="24"/>
          <w:szCs w:val="24"/>
        </w:rPr>
      </w:pPr>
      <w:r w:rsidRPr="00D92D0A">
        <w:rPr>
          <w:rFonts w:ascii="Times New Roman" w:hAnsi="Times New Roman" w:cs="Times New Roman"/>
          <w:sz w:val="24"/>
          <w:szCs w:val="24"/>
        </w:rPr>
        <w:t xml:space="preserve">При расчете объема </w:t>
      </w:r>
      <w:proofErr w:type="gramStart"/>
      <w:r w:rsidRPr="00D92D0A">
        <w:rPr>
          <w:rFonts w:ascii="Times New Roman" w:hAnsi="Times New Roman" w:cs="Times New Roman"/>
          <w:sz w:val="24"/>
          <w:szCs w:val="24"/>
        </w:rPr>
        <w:t>софинансирования  Проекта</w:t>
      </w:r>
      <w:proofErr w:type="gramEnd"/>
      <w:r w:rsidRPr="00D92D0A">
        <w:rPr>
          <w:rFonts w:ascii="Times New Roman" w:hAnsi="Times New Roman" w:cs="Times New Roman"/>
          <w:sz w:val="24"/>
          <w:szCs w:val="24"/>
        </w:rPr>
        <w:t xml:space="preserve"> со стороны Заявителя, частных инвесторов или за счет банковских кредитов</w:t>
      </w:r>
      <w:r w:rsidR="00D30118">
        <w:rPr>
          <w:rFonts w:ascii="Times New Roman" w:hAnsi="Times New Roman" w:cs="Times New Roman"/>
          <w:sz w:val="24"/>
          <w:szCs w:val="24"/>
        </w:rPr>
        <w:t>:</w:t>
      </w:r>
      <w:r w:rsidR="00B75688">
        <w:rPr>
          <w:rFonts w:ascii="Times New Roman" w:hAnsi="Times New Roman" w:cs="Times New Roman"/>
          <w:sz w:val="24"/>
          <w:szCs w:val="24"/>
        </w:rPr>
        <w:t xml:space="preserve"> </w:t>
      </w:r>
    </w:p>
    <w:p w14:paraId="1B380AA7" w14:textId="77777777" w:rsidR="00804D75" w:rsidRDefault="00D92D0A" w:rsidP="00D92D0A">
      <w:pPr>
        <w:pStyle w:val="a4"/>
        <w:tabs>
          <w:tab w:val="left" w:pos="709"/>
        </w:tabs>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804D75" w:rsidRPr="00D92D0A">
        <w:rPr>
          <w:rFonts w:ascii="Times New Roman" w:hAnsi="Times New Roman" w:cs="Times New Roman"/>
          <w:sz w:val="24"/>
          <w:szCs w:val="24"/>
        </w:rPr>
        <w:t>не учитываются затраты, осуществляемые (осуществленные) за счет средств, выделяемых напрямую Заявителю из бюджета;</w:t>
      </w:r>
    </w:p>
    <w:p w14:paraId="257D99DC" w14:textId="65351AEE" w:rsidR="00D30118" w:rsidRPr="00D92D0A" w:rsidRDefault="00D30118" w:rsidP="00D30118">
      <w:pPr>
        <w:pStyle w:val="a4"/>
        <w:tabs>
          <w:tab w:val="left" w:pos="709"/>
        </w:tabs>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Pr="00D92D0A">
        <w:rPr>
          <w:rFonts w:ascii="Times New Roman" w:hAnsi="Times New Roman" w:cs="Times New Roman"/>
          <w:sz w:val="24"/>
          <w:szCs w:val="24"/>
        </w:rPr>
        <w:t>не учитываются затраты, осуществляемые (осуществленные) за счет</w:t>
      </w:r>
      <w:r>
        <w:rPr>
          <w:rFonts w:ascii="Times New Roman" w:hAnsi="Times New Roman" w:cs="Times New Roman"/>
          <w:sz w:val="24"/>
          <w:szCs w:val="24"/>
        </w:rPr>
        <w:t xml:space="preserve"> ранее предоставленных заемных</w:t>
      </w:r>
      <w:r w:rsidRPr="00D92D0A">
        <w:rPr>
          <w:rFonts w:ascii="Times New Roman" w:hAnsi="Times New Roman" w:cs="Times New Roman"/>
          <w:sz w:val="24"/>
          <w:szCs w:val="24"/>
        </w:rPr>
        <w:t xml:space="preserve"> средств</w:t>
      </w:r>
      <w:r>
        <w:rPr>
          <w:rFonts w:ascii="Times New Roman" w:hAnsi="Times New Roman" w:cs="Times New Roman"/>
          <w:sz w:val="24"/>
          <w:szCs w:val="24"/>
        </w:rPr>
        <w:t xml:space="preserve"> Фонда</w:t>
      </w:r>
      <w:r w:rsidRPr="00D92D0A">
        <w:rPr>
          <w:rFonts w:ascii="Times New Roman" w:hAnsi="Times New Roman" w:cs="Times New Roman"/>
          <w:sz w:val="24"/>
          <w:szCs w:val="24"/>
        </w:rPr>
        <w:t>;</w:t>
      </w:r>
    </w:p>
    <w:p w14:paraId="6BC27225" w14:textId="25C4D91A" w:rsidR="00D30118" w:rsidRDefault="00D92D0A" w:rsidP="00D92D0A">
      <w:pPr>
        <w:pStyle w:val="a4"/>
        <w:tabs>
          <w:tab w:val="left" w:pos="709"/>
        </w:tabs>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804D75" w:rsidRPr="00D92D0A">
        <w:rPr>
          <w:rFonts w:ascii="Times New Roman" w:hAnsi="Times New Roman" w:cs="Times New Roman"/>
          <w:sz w:val="24"/>
          <w:szCs w:val="24"/>
        </w:rPr>
        <w:t>не учитываются доходы в виде денежного потока, генерируемого операционной деятельностью Заявителя</w:t>
      </w:r>
      <w:r w:rsidR="00D30118">
        <w:rPr>
          <w:rFonts w:ascii="Times New Roman" w:hAnsi="Times New Roman" w:cs="Times New Roman"/>
          <w:sz w:val="24"/>
          <w:szCs w:val="24"/>
        </w:rPr>
        <w:t>.</w:t>
      </w:r>
    </w:p>
    <w:p w14:paraId="4981FE0C" w14:textId="77777777" w:rsidR="00804D75" w:rsidRDefault="00804D75" w:rsidP="00804D75">
      <w:pPr>
        <w:spacing w:after="0"/>
        <w:ind w:firstLine="567"/>
        <w:jc w:val="both"/>
        <w:rPr>
          <w:rFonts w:ascii="Times New Roman" w:hAnsi="Times New Roman" w:cs="Times New Roman"/>
          <w:sz w:val="24"/>
          <w:szCs w:val="24"/>
        </w:rPr>
      </w:pPr>
      <w:r w:rsidRPr="00D92D0A">
        <w:rPr>
          <w:rFonts w:ascii="Times New Roman" w:hAnsi="Times New Roman" w:cs="Times New Roman"/>
          <w:sz w:val="24"/>
          <w:szCs w:val="24"/>
        </w:rPr>
        <w:t>Софинансирование за счет собственных и/или привлеченных средств Заявителя (и/или аффилированных лиц, бенефициарных владельцев Заявителя) в размере не менее 2</w:t>
      </w:r>
      <w:r w:rsidR="00EB7CAD">
        <w:rPr>
          <w:rFonts w:ascii="Times New Roman" w:hAnsi="Times New Roman" w:cs="Times New Roman"/>
          <w:sz w:val="24"/>
          <w:szCs w:val="24"/>
        </w:rPr>
        <w:t>0</w:t>
      </w:r>
      <w:r w:rsidRPr="00D92D0A">
        <w:rPr>
          <w:rFonts w:ascii="Times New Roman" w:hAnsi="Times New Roman" w:cs="Times New Roman"/>
          <w:sz w:val="24"/>
          <w:szCs w:val="24"/>
        </w:rPr>
        <w:t xml:space="preserve"> % от сметы Проекта должно быть осуществлено в следующий период: не ранее </w:t>
      </w:r>
      <w:r w:rsidR="00696E05">
        <w:rPr>
          <w:rFonts w:ascii="Times New Roman" w:hAnsi="Times New Roman" w:cs="Times New Roman"/>
          <w:sz w:val="24"/>
          <w:szCs w:val="24"/>
        </w:rPr>
        <w:t>3 (трех) месяцев до даты подачи Заявки на предоставление финансирования</w:t>
      </w:r>
      <w:r w:rsidRPr="00D92D0A">
        <w:rPr>
          <w:rFonts w:ascii="Times New Roman" w:hAnsi="Times New Roman" w:cs="Times New Roman"/>
          <w:sz w:val="24"/>
          <w:szCs w:val="24"/>
        </w:rPr>
        <w:t xml:space="preserve"> и не позднее </w:t>
      </w:r>
      <w:r w:rsidR="00696E05">
        <w:rPr>
          <w:rFonts w:ascii="Times New Roman" w:hAnsi="Times New Roman" w:cs="Times New Roman"/>
          <w:sz w:val="24"/>
          <w:szCs w:val="24"/>
        </w:rPr>
        <w:t xml:space="preserve">1 (одного) </w:t>
      </w:r>
      <w:r w:rsidRPr="00D92D0A">
        <w:rPr>
          <w:rFonts w:ascii="Times New Roman" w:hAnsi="Times New Roman" w:cs="Times New Roman"/>
          <w:sz w:val="24"/>
          <w:szCs w:val="24"/>
        </w:rPr>
        <w:t>года с даты заключения договора займа.</w:t>
      </w:r>
    </w:p>
    <w:p w14:paraId="1AFBF485" w14:textId="77777777" w:rsidR="00696E05" w:rsidRPr="00D92D0A" w:rsidRDefault="00696E05" w:rsidP="00804D75">
      <w:pPr>
        <w:spacing w:after="0"/>
        <w:ind w:firstLine="567"/>
        <w:jc w:val="both"/>
        <w:rPr>
          <w:rFonts w:ascii="Times New Roman" w:hAnsi="Times New Roman" w:cs="Times New Roman"/>
          <w:sz w:val="24"/>
          <w:szCs w:val="24"/>
        </w:rPr>
      </w:pPr>
    </w:p>
    <w:p w14:paraId="4EE043D8" w14:textId="77777777" w:rsidR="00696E05" w:rsidRDefault="00804D75" w:rsidP="00804D75">
      <w:pPr>
        <w:spacing w:after="0"/>
        <w:ind w:firstLine="567"/>
        <w:jc w:val="both"/>
        <w:rPr>
          <w:rFonts w:ascii="Times New Roman" w:hAnsi="Times New Roman" w:cs="Times New Roman"/>
          <w:sz w:val="24"/>
          <w:szCs w:val="24"/>
        </w:rPr>
      </w:pPr>
      <w:r w:rsidRPr="00D92D0A">
        <w:rPr>
          <w:rFonts w:ascii="Times New Roman" w:hAnsi="Times New Roman" w:cs="Times New Roman"/>
          <w:sz w:val="24"/>
          <w:szCs w:val="24"/>
        </w:rPr>
        <w:t>В качестве софинансирования Проекта могут быть учтены</w:t>
      </w:r>
      <w:r w:rsidR="00696E05">
        <w:rPr>
          <w:rFonts w:ascii="Times New Roman" w:hAnsi="Times New Roman" w:cs="Times New Roman"/>
          <w:sz w:val="24"/>
          <w:szCs w:val="24"/>
        </w:rPr>
        <w:t>:</w:t>
      </w:r>
      <w:r w:rsidRPr="00D92D0A">
        <w:rPr>
          <w:rFonts w:ascii="Times New Roman" w:hAnsi="Times New Roman" w:cs="Times New Roman"/>
          <w:sz w:val="24"/>
          <w:szCs w:val="24"/>
        </w:rPr>
        <w:t xml:space="preserve"> </w:t>
      </w:r>
    </w:p>
    <w:p w14:paraId="0C9791C9" w14:textId="1AC09F20" w:rsidR="00696E05" w:rsidRDefault="00696E05" w:rsidP="00804D75">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804D75" w:rsidRPr="00D92D0A">
        <w:rPr>
          <w:rFonts w:ascii="Times New Roman" w:hAnsi="Times New Roman" w:cs="Times New Roman"/>
          <w:sz w:val="24"/>
          <w:szCs w:val="24"/>
        </w:rPr>
        <w:t xml:space="preserve"> расходы, соответствующие направлениям целевого использования средств займа, указанным в настоящей Программе финансирования</w:t>
      </w:r>
      <w:r>
        <w:rPr>
          <w:rFonts w:ascii="Times New Roman" w:hAnsi="Times New Roman" w:cs="Times New Roman"/>
          <w:sz w:val="24"/>
          <w:szCs w:val="24"/>
        </w:rPr>
        <w:t xml:space="preserve"> в размере не менее </w:t>
      </w:r>
      <w:r w:rsidR="006D2C9C">
        <w:rPr>
          <w:rFonts w:ascii="Times New Roman" w:hAnsi="Times New Roman" w:cs="Times New Roman"/>
          <w:sz w:val="24"/>
          <w:szCs w:val="24"/>
        </w:rPr>
        <w:t>7</w:t>
      </w:r>
      <w:r>
        <w:rPr>
          <w:rFonts w:ascii="Times New Roman" w:hAnsi="Times New Roman" w:cs="Times New Roman"/>
          <w:sz w:val="24"/>
          <w:szCs w:val="24"/>
        </w:rPr>
        <w:t>0 (</w:t>
      </w:r>
      <w:r w:rsidR="006D2C9C">
        <w:rPr>
          <w:rFonts w:ascii="Times New Roman" w:hAnsi="Times New Roman" w:cs="Times New Roman"/>
          <w:sz w:val="24"/>
          <w:szCs w:val="24"/>
        </w:rPr>
        <w:t>семи</w:t>
      </w:r>
      <w:r>
        <w:rPr>
          <w:rFonts w:ascii="Times New Roman" w:hAnsi="Times New Roman" w:cs="Times New Roman"/>
          <w:sz w:val="24"/>
          <w:szCs w:val="24"/>
        </w:rPr>
        <w:t>десяти) процентов от объема софинансирования;</w:t>
      </w:r>
    </w:p>
    <w:p w14:paraId="36D4DA5F" w14:textId="13FCA3C8" w:rsidR="0011164A" w:rsidRDefault="00804D75" w:rsidP="00804D75">
      <w:pPr>
        <w:spacing w:after="0"/>
        <w:ind w:firstLine="567"/>
        <w:jc w:val="both"/>
        <w:rPr>
          <w:rFonts w:ascii="Times New Roman" w:hAnsi="Times New Roman" w:cs="Times New Roman"/>
          <w:sz w:val="24"/>
          <w:szCs w:val="24"/>
        </w:rPr>
      </w:pPr>
      <w:r w:rsidRPr="00D92D0A">
        <w:rPr>
          <w:rFonts w:ascii="Times New Roman" w:hAnsi="Times New Roman" w:cs="Times New Roman"/>
          <w:sz w:val="24"/>
          <w:szCs w:val="24"/>
        </w:rPr>
        <w:t xml:space="preserve"> </w:t>
      </w:r>
      <w:r w:rsidR="0011164A">
        <w:rPr>
          <w:rFonts w:ascii="Times New Roman" w:hAnsi="Times New Roman" w:cs="Times New Roman"/>
          <w:sz w:val="24"/>
          <w:szCs w:val="24"/>
        </w:rPr>
        <w:t xml:space="preserve">- </w:t>
      </w:r>
      <w:r w:rsidRPr="00D92D0A">
        <w:rPr>
          <w:rFonts w:ascii="Times New Roman" w:hAnsi="Times New Roman" w:cs="Times New Roman"/>
          <w:sz w:val="24"/>
          <w:szCs w:val="24"/>
        </w:rPr>
        <w:t>проектные работы (строительные, монтажные, пуско-наладочные работы и т.д.)</w:t>
      </w:r>
      <w:r w:rsidR="0011164A" w:rsidRPr="0011164A">
        <w:rPr>
          <w:rFonts w:ascii="Times New Roman" w:hAnsi="Times New Roman" w:cs="Times New Roman"/>
          <w:sz w:val="24"/>
          <w:szCs w:val="24"/>
        </w:rPr>
        <w:t xml:space="preserve"> </w:t>
      </w:r>
      <w:r w:rsidR="0011164A">
        <w:rPr>
          <w:rFonts w:ascii="Times New Roman" w:hAnsi="Times New Roman" w:cs="Times New Roman"/>
          <w:sz w:val="24"/>
          <w:szCs w:val="24"/>
        </w:rPr>
        <w:t>в размере не более 10 (десяти)</w:t>
      </w:r>
      <w:r w:rsidR="0011164A" w:rsidRPr="0011164A">
        <w:rPr>
          <w:rFonts w:ascii="Times New Roman" w:hAnsi="Times New Roman" w:cs="Times New Roman"/>
          <w:sz w:val="24"/>
          <w:szCs w:val="24"/>
        </w:rPr>
        <w:t xml:space="preserve"> </w:t>
      </w:r>
      <w:r w:rsidR="0011164A">
        <w:rPr>
          <w:rFonts w:ascii="Times New Roman" w:hAnsi="Times New Roman" w:cs="Times New Roman"/>
          <w:sz w:val="24"/>
          <w:szCs w:val="24"/>
        </w:rPr>
        <w:t>процентов от объема софинансирования;</w:t>
      </w:r>
      <w:r w:rsidRPr="00D92D0A">
        <w:rPr>
          <w:rFonts w:ascii="Times New Roman" w:hAnsi="Times New Roman" w:cs="Times New Roman"/>
          <w:sz w:val="24"/>
          <w:szCs w:val="24"/>
        </w:rPr>
        <w:t xml:space="preserve"> </w:t>
      </w:r>
    </w:p>
    <w:p w14:paraId="50C7FC0F" w14:textId="77777777" w:rsidR="00804D75" w:rsidRPr="00D92D0A" w:rsidRDefault="0011164A" w:rsidP="00804D75">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04D75" w:rsidRPr="00D92D0A">
        <w:rPr>
          <w:rFonts w:ascii="Times New Roman" w:hAnsi="Times New Roman" w:cs="Times New Roman"/>
          <w:sz w:val="24"/>
          <w:szCs w:val="24"/>
        </w:rPr>
        <w:t>капитальные вложения (приобретение земельных участков, зданий, со</w:t>
      </w:r>
      <w:r>
        <w:rPr>
          <w:rFonts w:ascii="Times New Roman" w:hAnsi="Times New Roman" w:cs="Times New Roman"/>
          <w:sz w:val="24"/>
          <w:szCs w:val="24"/>
        </w:rPr>
        <w:t>оружений и оборудования (не приобретаемого за счет заемных средств) и т.д.) в размере не более 20 (двадцати)</w:t>
      </w:r>
      <w:r w:rsidRPr="0011164A">
        <w:rPr>
          <w:rFonts w:ascii="Times New Roman" w:hAnsi="Times New Roman" w:cs="Times New Roman"/>
          <w:sz w:val="24"/>
          <w:szCs w:val="24"/>
        </w:rPr>
        <w:t xml:space="preserve"> </w:t>
      </w:r>
      <w:r>
        <w:rPr>
          <w:rFonts w:ascii="Times New Roman" w:hAnsi="Times New Roman" w:cs="Times New Roman"/>
          <w:sz w:val="24"/>
          <w:szCs w:val="24"/>
        </w:rPr>
        <w:t>процентов от объема софинансирования;</w:t>
      </w:r>
    </w:p>
    <w:p w14:paraId="231D9A5A" w14:textId="77777777" w:rsidR="00D92D0A" w:rsidRDefault="00D92D0A" w:rsidP="00804D75">
      <w:pPr>
        <w:spacing w:after="0"/>
        <w:ind w:firstLine="567"/>
        <w:jc w:val="both"/>
        <w:rPr>
          <w:rFonts w:ascii="Times New Roman" w:hAnsi="Times New Roman" w:cs="Times New Roman"/>
          <w:b/>
          <w:sz w:val="24"/>
          <w:szCs w:val="24"/>
          <w:u w:val="single"/>
        </w:rPr>
      </w:pPr>
    </w:p>
    <w:p w14:paraId="41B72C70" w14:textId="77777777" w:rsidR="00804D75" w:rsidRPr="00D92D0A" w:rsidRDefault="00804D75" w:rsidP="00804D75">
      <w:pPr>
        <w:spacing w:after="0"/>
        <w:ind w:firstLine="567"/>
        <w:jc w:val="both"/>
        <w:rPr>
          <w:rFonts w:ascii="Times New Roman" w:hAnsi="Times New Roman" w:cs="Times New Roman"/>
          <w:b/>
          <w:sz w:val="24"/>
          <w:szCs w:val="24"/>
          <w:u w:val="single"/>
        </w:rPr>
      </w:pPr>
      <w:r w:rsidRPr="00D92D0A">
        <w:rPr>
          <w:rFonts w:ascii="Times New Roman" w:hAnsi="Times New Roman" w:cs="Times New Roman"/>
          <w:b/>
          <w:sz w:val="24"/>
          <w:szCs w:val="24"/>
          <w:u w:val="single"/>
        </w:rPr>
        <w:t>Требование к приобретаемому оборудованию:</w:t>
      </w:r>
    </w:p>
    <w:p w14:paraId="2B3091F1" w14:textId="77777777" w:rsidR="00804D75" w:rsidRPr="00804D75" w:rsidRDefault="00BF7122" w:rsidP="00BF7122">
      <w:pPr>
        <w:pStyle w:val="a4"/>
        <w:tabs>
          <w:tab w:val="left" w:pos="993"/>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04D75" w:rsidRPr="00804D75">
        <w:rPr>
          <w:rFonts w:ascii="Times New Roman" w:hAnsi="Times New Roman" w:cs="Times New Roman"/>
          <w:sz w:val="24"/>
          <w:szCs w:val="24"/>
        </w:rPr>
        <w:t>отнесение оборудования в соответствии с</w:t>
      </w:r>
      <w:r w:rsidR="00804D75">
        <w:rPr>
          <w:rFonts w:ascii="Times New Roman" w:hAnsi="Times New Roman" w:cs="Times New Roman"/>
          <w:sz w:val="24"/>
          <w:szCs w:val="24"/>
        </w:rPr>
        <w:t xml:space="preserve"> </w:t>
      </w:r>
      <w:r w:rsidR="00804D75" w:rsidRPr="00804D75">
        <w:rPr>
          <w:rFonts w:ascii="Times New Roman" w:hAnsi="Times New Roman" w:cs="Times New Roman"/>
          <w:sz w:val="24"/>
          <w:szCs w:val="24"/>
        </w:rPr>
        <w:t>Общероссийским классификатором продукции по видам экономической деятельности ОК 034-2014 (КПЕС 2008) к классам 26, 27 и 28 (за исключением подкласса 28.3);</w:t>
      </w:r>
    </w:p>
    <w:p w14:paraId="015B8872" w14:textId="77777777" w:rsidR="00804D75" w:rsidRPr="00804D75" w:rsidRDefault="00BF7122" w:rsidP="00BF7122">
      <w:pPr>
        <w:pStyle w:val="a4"/>
        <w:tabs>
          <w:tab w:val="left" w:pos="993"/>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04D75" w:rsidRPr="00804D75">
        <w:rPr>
          <w:rFonts w:ascii="Times New Roman" w:hAnsi="Times New Roman" w:cs="Times New Roman"/>
          <w:sz w:val="24"/>
          <w:szCs w:val="24"/>
        </w:rPr>
        <w:t>оборудование должно быть новым;</w:t>
      </w:r>
    </w:p>
    <w:p w14:paraId="2F8E323D" w14:textId="77777777" w:rsidR="00804D75" w:rsidRDefault="00D92D0A" w:rsidP="00BF7122">
      <w:pPr>
        <w:pStyle w:val="a4"/>
        <w:tabs>
          <w:tab w:val="left" w:pos="993"/>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04D75" w:rsidRPr="00804D75">
        <w:rPr>
          <w:rFonts w:ascii="Times New Roman" w:hAnsi="Times New Roman" w:cs="Times New Roman"/>
          <w:sz w:val="24"/>
          <w:szCs w:val="24"/>
        </w:rPr>
        <w:t>оборудование будет использоваться в производственной деятельности Заемщика по основному виду экономической деятельности раздела «Обрабатывающие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 Министерства промышленности и торговли Российской Федерации);</w:t>
      </w:r>
    </w:p>
    <w:p w14:paraId="7D2A2A2B" w14:textId="77777777" w:rsidR="00D92D0A" w:rsidRDefault="00D92D0A" w:rsidP="00D92D0A">
      <w:pPr>
        <w:tabs>
          <w:tab w:val="left" w:pos="993"/>
        </w:tabs>
        <w:spacing w:after="0"/>
        <w:jc w:val="both"/>
        <w:rPr>
          <w:rFonts w:ascii="Times New Roman" w:hAnsi="Times New Roman" w:cs="Times New Roman"/>
          <w:sz w:val="24"/>
          <w:szCs w:val="24"/>
        </w:rPr>
      </w:pPr>
    </w:p>
    <w:p w14:paraId="55A0C16C" w14:textId="77777777" w:rsidR="00D92D0A" w:rsidRPr="00D92D0A" w:rsidRDefault="00D92D0A" w:rsidP="00D92D0A">
      <w:pPr>
        <w:pStyle w:val="a4"/>
        <w:tabs>
          <w:tab w:val="left" w:pos="1134"/>
        </w:tabs>
        <w:spacing w:after="0" w:line="276" w:lineRule="auto"/>
        <w:ind w:left="567"/>
        <w:jc w:val="both"/>
        <w:rPr>
          <w:rFonts w:ascii="Times New Roman" w:hAnsi="Times New Roman" w:cs="Times New Roman"/>
          <w:b/>
          <w:sz w:val="24"/>
          <w:szCs w:val="24"/>
          <w:u w:val="single"/>
        </w:rPr>
      </w:pPr>
      <w:r w:rsidRPr="00D92D0A">
        <w:rPr>
          <w:rFonts w:ascii="Times New Roman" w:hAnsi="Times New Roman" w:cs="Times New Roman"/>
          <w:b/>
          <w:sz w:val="24"/>
          <w:szCs w:val="24"/>
          <w:u w:val="single"/>
        </w:rPr>
        <w:t xml:space="preserve">Средства, полученные Заемщиком для финансирования Проекта, не могут быть направлены на реализацию следующих мероприятий: </w:t>
      </w:r>
    </w:p>
    <w:p w14:paraId="13292FF8" w14:textId="77777777" w:rsidR="00D92D0A" w:rsidRPr="00D92D0A" w:rsidRDefault="00D92D0A" w:rsidP="00D92D0A">
      <w:pPr>
        <w:pStyle w:val="a4"/>
        <w:spacing w:after="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92D0A">
        <w:rPr>
          <w:rFonts w:ascii="Times New Roman" w:hAnsi="Times New Roman" w:cs="Times New Roman"/>
          <w:sz w:val="24"/>
          <w:szCs w:val="24"/>
        </w:rPr>
        <w:t>оплата товаров, работ, услуг в соответствии с целевым направлением аффилированным лицам, лицам, входящим в группу лиц Заявителя;</w:t>
      </w:r>
    </w:p>
    <w:p w14:paraId="2E21E781" w14:textId="77777777" w:rsidR="00D92D0A" w:rsidRPr="00D92D0A" w:rsidRDefault="00D92D0A" w:rsidP="00D92D0A">
      <w:pPr>
        <w:pStyle w:val="a4"/>
        <w:spacing w:after="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92D0A">
        <w:rPr>
          <w:rFonts w:ascii="Times New Roman" w:hAnsi="Times New Roman" w:cs="Times New Roman"/>
          <w:sz w:val="24"/>
          <w:szCs w:val="24"/>
        </w:rPr>
        <w:t>строительство и капитальный ремонт зданий, сооружений, коммуникаций для организации производства или общехозяйственного назначения;</w:t>
      </w:r>
    </w:p>
    <w:p w14:paraId="65BB125B" w14:textId="77777777" w:rsidR="00D92D0A" w:rsidRPr="00D92D0A" w:rsidRDefault="00D92D0A" w:rsidP="00D92D0A">
      <w:pPr>
        <w:pStyle w:val="a4"/>
        <w:spacing w:after="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92D0A">
        <w:rPr>
          <w:rFonts w:ascii="Times New Roman" w:hAnsi="Times New Roman" w:cs="Times New Roman"/>
          <w:sz w:val="24"/>
          <w:szCs w:val="24"/>
        </w:rPr>
        <w:t xml:space="preserve">рефинансирование ранее полученных заемных/кредитных средств; </w:t>
      </w:r>
    </w:p>
    <w:p w14:paraId="54BC2CBC" w14:textId="77777777" w:rsidR="00D92D0A" w:rsidRPr="00D92D0A" w:rsidRDefault="00D92D0A" w:rsidP="00D92D0A">
      <w:pPr>
        <w:pStyle w:val="a4"/>
        <w:spacing w:after="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92D0A">
        <w:rPr>
          <w:rFonts w:ascii="Times New Roman" w:hAnsi="Times New Roman" w:cs="Times New Roman"/>
          <w:sz w:val="24"/>
          <w:szCs w:val="24"/>
        </w:rPr>
        <w:t xml:space="preserve">погашение платежей по договорам финансовой аренды (лизинга); </w:t>
      </w:r>
    </w:p>
    <w:p w14:paraId="520D15EB" w14:textId="77777777" w:rsidR="00D92D0A" w:rsidRPr="00D92D0A" w:rsidRDefault="00D92D0A" w:rsidP="00D92D0A">
      <w:pPr>
        <w:pStyle w:val="a4"/>
        <w:spacing w:after="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92D0A">
        <w:rPr>
          <w:rFonts w:ascii="Times New Roman" w:hAnsi="Times New Roman" w:cs="Times New Roman"/>
          <w:sz w:val="24"/>
          <w:szCs w:val="24"/>
        </w:rPr>
        <w:t>погашение кредиторской задолженности и иных обязательств, возникших до даты предоставления займа, за исключением случаев, если завершение исполнения таких договоров приходится на период после принятия решения о финансировании и случаев, прямо предусмотренных настоящим Стандартом;</w:t>
      </w:r>
    </w:p>
    <w:p w14:paraId="5B0EA83E" w14:textId="77777777" w:rsidR="00D92D0A" w:rsidRPr="00D92D0A" w:rsidRDefault="00D92D0A" w:rsidP="00D92D0A">
      <w:pPr>
        <w:pStyle w:val="a4"/>
        <w:spacing w:after="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92D0A">
        <w:rPr>
          <w:rFonts w:ascii="Times New Roman" w:hAnsi="Times New Roman" w:cs="Times New Roman"/>
          <w:sz w:val="24"/>
          <w:szCs w:val="24"/>
        </w:rPr>
        <w:t>уплата основного долга, процентов по заемным/кредитным средствам, в том числе по займу, предоставленному Фондом для финансирования Проекта;</w:t>
      </w:r>
    </w:p>
    <w:p w14:paraId="5C59447D" w14:textId="77777777" w:rsidR="00D92D0A" w:rsidRPr="00D92D0A" w:rsidRDefault="00D92D0A" w:rsidP="00D92D0A">
      <w:pPr>
        <w:pStyle w:val="a4"/>
        <w:spacing w:after="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92D0A">
        <w:rPr>
          <w:rFonts w:ascii="Times New Roman" w:hAnsi="Times New Roman" w:cs="Times New Roman"/>
          <w:sz w:val="24"/>
          <w:szCs w:val="24"/>
        </w:rPr>
        <w:t>осуществление финансовых вложений и приобретение финансовых инструментов;</w:t>
      </w:r>
    </w:p>
    <w:p w14:paraId="67A553D0" w14:textId="77777777" w:rsidR="00D92D0A" w:rsidRPr="00D92D0A" w:rsidRDefault="00D92D0A" w:rsidP="00D92D0A">
      <w:pPr>
        <w:pStyle w:val="a4"/>
        <w:spacing w:after="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92D0A">
        <w:rPr>
          <w:rFonts w:ascii="Times New Roman" w:hAnsi="Times New Roman" w:cs="Times New Roman"/>
          <w:sz w:val="24"/>
          <w:szCs w:val="24"/>
        </w:rPr>
        <w:t>распределение прибыли (выплата дивидендов);</w:t>
      </w:r>
    </w:p>
    <w:p w14:paraId="4C8D3BB0" w14:textId="3CCFECFC" w:rsidR="00804D75" w:rsidRDefault="00D92D0A" w:rsidP="00BF7122">
      <w:pPr>
        <w:pStyle w:val="a4"/>
        <w:spacing w:after="0" w:line="276" w:lineRule="auto"/>
        <w:ind w:left="0" w:firstLine="567"/>
        <w:contextualSpacing w:val="0"/>
        <w:jc w:val="both"/>
        <w:rPr>
          <w:rFonts w:ascii="Times New Roman" w:hAnsi="Times New Roman" w:cs="Times New Roman"/>
          <w:sz w:val="24"/>
          <w:szCs w:val="24"/>
        </w:rPr>
      </w:pPr>
      <w:bookmarkStart w:id="2" w:name="_Hlk137804006"/>
      <w:r>
        <w:rPr>
          <w:rFonts w:ascii="Times New Roman" w:hAnsi="Times New Roman" w:cs="Times New Roman"/>
          <w:sz w:val="24"/>
          <w:szCs w:val="24"/>
        </w:rPr>
        <w:t xml:space="preserve">- </w:t>
      </w:r>
      <w:r w:rsidRPr="00D92D0A">
        <w:rPr>
          <w:rFonts w:ascii="Times New Roman" w:hAnsi="Times New Roman" w:cs="Times New Roman"/>
          <w:sz w:val="24"/>
          <w:szCs w:val="24"/>
        </w:rPr>
        <w:t xml:space="preserve">иные расходы, не предусмотренные </w:t>
      </w:r>
      <w:r>
        <w:rPr>
          <w:rFonts w:ascii="Times New Roman" w:hAnsi="Times New Roman" w:cs="Times New Roman"/>
          <w:sz w:val="24"/>
          <w:szCs w:val="24"/>
        </w:rPr>
        <w:t>условиями Программы финансирования «Инвестиционные проекты</w:t>
      </w:r>
      <w:r w:rsidR="006317CC">
        <w:rPr>
          <w:rFonts w:ascii="Times New Roman" w:hAnsi="Times New Roman" w:cs="Times New Roman"/>
          <w:sz w:val="24"/>
          <w:szCs w:val="24"/>
        </w:rPr>
        <w:t xml:space="preserve"> (регион)</w:t>
      </w:r>
      <w:r>
        <w:rPr>
          <w:rFonts w:ascii="Times New Roman" w:hAnsi="Times New Roman" w:cs="Times New Roman"/>
          <w:sz w:val="24"/>
          <w:szCs w:val="24"/>
        </w:rPr>
        <w:t>» и настоящего</w:t>
      </w:r>
      <w:r w:rsidRPr="00D92D0A">
        <w:rPr>
          <w:rFonts w:ascii="Times New Roman" w:hAnsi="Times New Roman" w:cs="Times New Roman"/>
          <w:sz w:val="24"/>
          <w:szCs w:val="24"/>
        </w:rPr>
        <w:t xml:space="preserve"> Стандарта.</w:t>
      </w:r>
      <w:bookmarkEnd w:id="2"/>
    </w:p>
    <w:p w14:paraId="6137A2B5" w14:textId="77777777" w:rsidR="00040B52" w:rsidRDefault="00040B52" w:rsidP="00BF7122">
      <w:pPr>
        <w:pStyle w:val="a4"/>
        <w:spacing w:after="0" w:line="276" w:lineRule="auto"/>
        <w:ind w:left="0" w:firstLine="567"/>
        <w:contextualSpacing w:val="0"/>
        <w:jc w:val="both"/>
        <w:rPr>
          <w:rFonts w:ascii="Times New Roman" w:hAnsi="Times New Roman" w:cs="Times New Roman"/>
          <w:sz w:val="24"/>
          <w:szCs w:val="24"/>
        </w:rPr>
      </w:pPr>
    </w:p>
    <w:p w14:paraId="2E69D671" w14:textId="77777777" w:rsidR="00040B52" w:rsidRPr="00F6295F" w:rsidRDefault="00040B52" w:rsidP="00040B52">
      <w:pPr>
        <w:pStyle w:val="a4"/>
        <w:spacing w:after="0" w:line="276" w:lineRule="auto"/>
        <w:ind w:left="0" w:firstLine="567"/>
        <w:jc w:val="both"/>
        <w:rPr>
          <w:rFonts w:ascii="Times New Roman" w:hAnsi="Times New Roman" w:cs="Times New Roman"/>
          <w:b/>
          <w:sz w:val="24"/>
          <w:szCs w:val="24"/>
          <w:u w:val="single"/>
        </w:rPr>
      </w:pPr>
      <w:r w:rsidRPr="00F6295F">
        <w:rPr>
          <w:rFonts w:ascii="Times New Roman" w:hAnsi="Times New Roman" w:cs="Times New Roman"/>
          <w:b/>
          <w:sz w:val="24"/>
          <w:szCs w:val="24"/>
          <w:u w:val="single"/>
        </w:rPr>
        <w:t xml:space="preserve">Требования к </w:t>
      </w:r>
      <w:r w:rsidR="00F6295F" w:rsidRPr="00F6295F">
        <w:rPr>
          <w:rFonts w:ascii="Times New Roman" w:hAnsi="Times New Roman" w:cs="Times New Roman"/>
          <w:b/>
          <w:sz w:val="24"/>
          <w:szCs w:val="24"/>
          <w:u w:val="single"/>
        </w:rPr>
        <w:t>проведению расчетов с поставщиками:</w:t>
      </w:r>
    </w:p>
    <w:p w14:paraId="2D547AFA" w14:textId="77777777" w:rsidR="00040B52" w:rsidRPr="00F6295F" w:rsidRDefault="00040B52" w:rsidP="00040B52">
      <w:pPr>
        <w:pStyle w:val="a4"/>
        <w:spacing w:after="0" w:line="276" w:lineRule="auto"/>
        <w:ind w:left="0" w:firstLine="567"/>
        <w:jc w:val="both"/>
        <w:rPr>
          <w:rFonts w:ascii="Times New Roman" w:hAnsi="Times New Roman" w:cs="Times New Roman"/>
          <w:bCs/>
          <w:sz w:val="24"/>
          <w:szCs w:val="24"/>
        </w:rPr>
      </w:pPr>
      <w:r w:rsidRPr="00F6295F">
        <w:rPr>
          <w:rFonts w:ascii="Times New Roman" w:hAnsi="Times New Roman" w:cs="Times New Roman"/>
          <w:sz w:val="24"/>
          <w:szCs w:val="24"/>
        </w:rPr>
        <w:t xml:space="preserve">В случае если предусмотрена закупка (поставка) импортного оборудования, </w:t>
      </w:r>
      <w:bookmarkStart w:id="3" w:name="_Hlk137744661"/>
      <w:r w:rsidRPr="00F6295F">
        <w:rPr>
          <w:rFonts w:ascii="Times New Roman" w:hAnsi="Times New Roman" w:cs="Times New Roman"/>
          <w:sz w:val="24"/>
          <w:szCs w:val="24"/>
        </w:rPr>
        <w:t>Заёмщик</w:t>
      </w:r>
      <w:bookmarkEnd w:id="3"/>
      <w:r w:rsidRPr="00F6295F">
        <w:rPr>
          <w:rFonts w:ascii="Times New Roman" w:hAnsi="Times New Roman" w:cs="Times New Roman"/>
          <w:sz w:val="24"/>
          <w:szCs w:val="24"/>
        </w:rPr>
        <w:t xml:space="preserve"> открывает для обособленного учета денежных средств, предоставленных в виде займа, также расчетный счет в иностранной валюте в Банке.</w:t>
      </w:r>
    </w:p>
    <w:p w14:paraId="1CFE9F11" w14:textId="77777777" w:rsidR="00040B52" w:rsidRPr="00F6295F" w:rsidRDefault="00040B52" w:rsidP="00040B52">
      <w:pPr>
        <w:pStyle w:val="a4"/>
        <w:spacing w:after="0"/>
        <w:ind w:left="0" w:firstLine="567"/>
        <w:jc w:val="both"/>
        <w:rPr>
          <w:rFonts w:ascii="Times New Roman" w:hAnsi="Times New Roman" w:cs="Times New Roman"/>
          <w:sz w:val="24"/>
          <w:szCs w:val="24"/>
        </w:rPr>
      </w:pPr>
      <w:r w:rsidRPr="00F6295F">
        <w:rPr>
          <w:rFonts w:ascii="Times New Roman" w:hAnsi="Times New Roman" w:cs="Times New Roman"/>
          <w:sz w:val="24"/>
          <w:szCs w:val="24"/>
        </w:rPr>
        <w:t xml:space="preserve">Средства займа могут быть заблаговременно конвертированы в иностранную валюту в объеме планируемых затрат по оплате (будущих платежей) импортных контрактов и аккредитивов. </w:t>
      </w:r>
    </w:p>
    <w:p w14:paraId="6F290545" w14:textId="70643DF1" w:rsidR="00040B52" w:rsidRPr="00F6295F" w:rsidRDefault="00040B52" w:rsidP="00040B52">
      <w:pPr>
        <w:pStyle w:val="a4"/>
        <w:spacing w:after="0"/>
        <w:ind w:left="0" w:firstLine="567"/>
        <w:jc w:val="both"/>
        <w:rPr>
          <w:rFonts w:ascii="Times New Roman" w:hAnsi="Times New Roman" w:cs="Times New Roman"/>
          <w:sz w:val="24"/>
          <w:szCs w:val="24"/>
        </w:rPr>
      </w:pPr>
      <w:r w:rsidRPr="00F6295F">
        <w:rPr>
          <w:rFonts w:ascii="Times New Roman" w:hAnsi="Times New Roman" w:cs="Times New Roman"/>
          <w:sz w:val="24"/>
          <w:szCs w:val="24"/>
        </w:rPr>
        <w:t>Если в дальнейшем Заёмщик отказывается от закупки (поставки) импортного оборудования, комплектующих, то приобретенная иностранная валюта подлежит обратной конвертации в рубли.</w:t>
      </w:r>
    </w:p>
    <w:p w14:paraId="13BC2DD1" w14:textId="77777777" w:rsidR="00040B52" w:rsidRPr="00F6295F" w:rsidRDefault="00040B52" w:rsidP="00040B52">
      <w:pPr>
        <w:pStyle w:val="a4"/>
        <w:spacing w:after="0"/>
        <w:ind w:left="0" w:firstLine="567"/>
        <w:jc w:val="both"/>
        <w:rPr>
          <w:rFonts w:ascii="Times New Roman" w:hAnsi="Times New Roman" w:cs="Times New Roman"/>
          <w:sz w:val="24"/>
          <w:szCs w:val="24"/>
        </w:rPr>
      </w:pPr>
      <w:r w:rsidRPr="00F6295F">
        <w:rPr>
          <w:rFonts w:ascii="Times New Roman" w:hAnsi="Times New Roman" w:cs="Times New Roman"/>
          <w:sz w:val="24"/>
          <w:szCs w:val="24"/>
        </w:rPr>
        <w:t xml:space="preserve">Все средства, полученные в результате обратной конвертации, перечисляются Заёмщиком на расчетный счет, открытый для обособленного учета денежных средств. </w:t>
      </w:r>
    </w:p>
    <w:p w14:paraId="3536673E" w14:textId="77777777" w:rsidR="00040B52" w:rsidRPr="00F6295F" w:rsidRDefault="00040B52" w:rsidP="00040B52">
      <w:pPr>
        <w:pStyle w:val="a4"/>
        <w:spacing w:after="0"/>
        <w:ind w:left="0" w:firstLine="567"/>
        <w:jc w:val="both"/>
        <w:rPr>
          <w:rFonts w:ascii="Times New Roman" w:hAnsi="Times New Roman" w:cs="Times New Roman"/>
          <w:sz w:val="24"/>
          <w:szCs w:val="24"/>
        </w:rPr>
      </w:pPr>
      <w:r w:rsidRPr="00F6295F">
        <w:rPr>
          <w:rFonts w:ascii="Times New Roman" w:hAnsi="Times New Roman" w:cs="Times New Roman"/>
          <w:sz w:val="24"/>
          <w:szCs w:val="24"/>
        </w:rPr>
        <w:t xml:space="preserve">В случае если в результате изменения курса иностранной валюты сумма полученных при обратной конвертации средств меньше ранее потраченной суммы займа, заемщик обязан возместить возникшую разницу за счет собственных средств перечислением денежных средств на расчетный счет, открытый для обособленного учета денежных средств. </w:t>
      </w:r>
    </w:p>
    <w:p w14:paraId="032397D5" w14:textId="77777777" w:rsidR="00040B52" w:rsidRPr="00F6295F" w:rsidRDefault="00040B52" w:rsidP="00040B52">
      <w:pPr>
        <w:pStyle w:val="a4"/>
        <w:spacing w:after="0"/>
        <w:ind w:left="0" w:firstLine="567"/>
        <w:jc w:val="both"/>
        <w:rPr>
          <w:rFonts w:ascii="Times New Roman" w:hAnsi="Times New Roman" w:cs="Times New Roman"/>
          <w:sz w:val="24"/>
          <w:szCs w:val="24"/>
        </w:rPr>
      </w:pPr>
      <w:r w:rsidRPr="00F6295F">
        <w:rPr>
          <w:rFonts w:ascii="Times New Roman" w:hAnsi="Times New Roman" w:cs="Times New Roman"/>
          <w:sz w:val="24"/>
          <w:szCs w:val="24"/>
        </w:rPr>
        <w:t>В случае если в результате изменения курса иностранной валюты сумма полученных при обратной конвертации средств превышает ранее потраченную сумму займа, полученная положительная разница направляется на досрочное погашение суммы займа не позднее 30 дней с даты возникновения такой разницы.</w:t>
      </w:r>
    </w:p>
    <w:p w14:paraId="078485D9" w14:textId="77777777" w:rsidR="00040B52" w:rsidRPr="00040B52" w:rsidRDefault="00040B52" w:rsidP="00BF7122">
      <w:pPr>
        <w:pStyle w:val="a4"/>
        <w:spacing w:after="0" w:line="276" w:lineRule="auto"/>
        <w:ind w:left="0" w:firstLine="567"/>
        <w:contextualSpacing w:val="0"/>
        <w:jc w:val="both"/>
        <w:rPr>
          <w:rFonts w:ascii="Times New Roman" w:hAnsi="Times New Roman" w:cs="Times New Roman"/>
          <w:b/>
          <w:sz w:val="24"/>
          <w:szCs w:val="24"/>
        </w:rPr>
      </w:pPr>
    </w:p>
    <w:sectPr w:rsidR="00040B52" w:rsidRPr="00040B52" w:rsidSect="00B96058">
      <w:pgSz w:w="11906" w:h="16838"/>
      <w:pgMar w:top="426"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DE2B1" w14:textId="77777777" w:rsidR="00450EEA" w:rsidRDefault="00450EEA" w:rsidP="00804D75">
      <w:pPr>
        <w:spacing w:after="0" w:line="240" w:lineRule="auto"/>
      </w:pPr>
      <w:r>
        <w:separator/>
      </w:r>
    </w:p>
  </w:endnote>
  <w:endnote w:type="continuationSeparator" w:id="0">
    <w:p w14:paraId="6095E711" w14:textId="77777777" w:rsidR="00450EEA" w:rsidRDefault="00450EEA" w:rsidP="00804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31825" w14:textId="77777777" w:rsidR="00450EEA" w:rsidRDefault="00450EEA" w:rsidP="00804D75">
      <w:pPr>
        <w:spacing w:after="0" w:line="240" w:lineRule="auto"/>
      </w:pPr>
      <w:r>
        <w:separator/>
      </w:r>
    </w:p>
  </w:footnote>
  <w:footnote w:type="continuationSeparator" w:id="0">
    <w:p w14:paraId="09D51161" w14:textId="77777777" w:rsidR="00450EEA" w:rsidRDefault="00450EEA" w:rsidP="00804D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54112"/>
    <w:multiLevelType w:val="hybridMultilevel"/>
    <w:tmpl w:val="54603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EF1849"/>
    <w:multiLevelType w:val="hybridMultilevel"/>
    <w:tmpl w:val="27CAC42E"/>
    <w:lvl w:ilvl="0" w:tplc="9216F37C">
      <w:start w:val="1"/>
      <w:numFmt w:val="bullet"/>
      <w:lvlText w:val=""/>
      <w:lvlJc w:val="left"/>
      <w:pPr>
        <w:ind w:left="1429" w:hanging="360"/>
      </w:pPr>
      <w:rPr>
        <w:rFonts w:ascii="Symbol" w:hAnsi="Symbol"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858552C"/>
    <w:multiLevelType w:val="multilevel"/>
    <w:tmpl w:val="70AE3260"/>
    <w:lvl w:ilvl="0">
      <w:start w:val="1"/>
      <w:numFmt w:val="decimal"/>
      <w:lvlText w:val="%1."/>
      <w:lvlJc w:val="left"/>
      <w:pPr>
        <w:ind w:left="360" w:hanging="360"/>
      </w:pPr>
    </w:lvl>
    <w:lvl w:ilvl="1">
      <w:start w:val="1"/>
      <w:numFmt w:val="decimal"/>
      <w:lvlText w:val="%1.%2."/>
      <w:lvlJc w:val="left"/>
      <w:pPr>
        <w:ind w:left="1000"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143883"/>
    <w:multiLevelType w:val="hybridMultilevel"/>
    <w:tmpl w:val="5D7A92DC"/>
    <w:lvl w:ilvl="0" w:tplc="9216F37C">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BEC5418"/>
    <w:multiLevelType w:val="hybridMultilevel"/>
    <w:tmpl w:val="417ED81A"/>
    <w:lvl w:ilvl="0" w:tplc="4D40E10A">
      <w:start w:val="1"/>
      <w:numFmt w:val="bullet"/>
      <w:lvlText w:val=""/>
      <w:lvlJc w:val="left"/>
      <w:pPr>
        <w:ind w:left="720" w:hanging="360"/>
      </w:pPr>
      <w:rPr>
        <w:rFonts w:ascii="Symbol" w:hAnsi="Symbol"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DC37001"/>
    <w:multiLevelType w:val="hybridMultilevel"/>
    <w:tmpl w:val="16701D20"/>
    <w:lvl w:ilvl="0" w:tplc="87265D70">
      <w:start w:val="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42C61A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7F6745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345941">
    <w:abstractNumId w:val="5"/>
  </w:num>
  <w:num w:numId="2" w16cid:durableId="631903108">
    <w:abstractNumId w:val="3"/>
  </w:num>
  <w:num w:numId="3" w16cid:durableId="187723651">
    <w:abstractNumId w:val="6"/>
  </w:num>
  <w:num w:numId="4" w16cid:durableId="81487907">
    <w:abstractNumId w:val="4"/>
  </w:num>
  <w:num w:numId="5" w16cid:durableId="954140047">
    <w:abstractNumId w:val="7"/>
  </w:num>
  <w:num w:numId="6" w16cid:durableId="2023898732">
    <w:abstractNumId w:val="0"/>
  </w:num>
  <w:num w:numId="7" w16cid:durableId="1769617893">
    <w:abstractNumId w:val="1"/>
  </w:num>
  <w:num w:numId="8" w16cid:durableId="1068572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458"/>
    <w:rsid w:val="000076B4"/>
    <w:rsid w:val="00014C76"/>
    <w:rsid w:val="00022F1B"/>
    <w:rsid w:val="00040B52"/>
    <w:rsid w:val="00064061"/>
    <w:rsid w:val="000C621D"/>
    <w:rsid w:val="000D5798"/>
    <w:rsid w:val="0011164A"/>
    <w:rsid w:val="001C494D"/>
    <w:rsid w:val="00236E5B"/>
    <w:rsid w:val="00246458"/>
    <w:rsid w:val="00291329"/>
    <w:rsid w:val="003449AF"/>
    <w:rsid w:val="00411178"/>
    <w:rsid w:val="00450EEA"/>
    <w:rsid w:val="004763D8"/>
    <w:rsid w:val="004947F3"/>
    <w:rsid w:val="004C7425"/>
    <w:rsid w:val="004F52D1"/>
    <w:rsid w:val="00574CF3"/>
    <w:rsid w:val="005D22EB"/>
    <w:rsid w:val="005E180D"/>
    <w:rsid w:val="006058BB"/>
    <w:rsid w:val="006168B7"/>
    <w:rsid w:val="00625679"/>
    <w:rsid w:val="006317CC"/>
    <w:rsid w:val="006323CF"/>
    <w:rsid w:val="00696E05"/>
    <w:rsid w:val="006C508A"/>
    <w:rsid w:val="006D2C9C"/>
    <w:rsid w:val="006E6090"/>
    <w:rsid w:val="007779B8"/>
    <w:rsid w:val="007F256F"/>
    <w:rsid w:val="00804D75"/>
    <w:rsid w:val="008231C8"/>
    <w:rsid w:val="008646A4"/>
    <w:rsid w:val="008861DB"/>
    <w:rsid w:val="008B4F28"/>
    <w:rsid w:val="00916565"/>
    <w:rsid w:val="009C2D20"/>
    <w:rsid w:val="009E2AB8"/>
    <w:rsid w:val="00A71265"/>
    <w:rsid w:val="00AB6F54"/>
    <w:rsid w:val="00B57D5A"/>
    <w:rsid w:val="00B75688"/>
    <w:rsid w:val="00B96058"/>
    <w:rsid w:val="00BA1D74"/>
    <w:rsid w:val="00BF7122"/>
    <w:rsid w:val="00C22E2D"/>
    <w:rsid w:val="00C70DB2"/>
    <w:rsid w:val="00D1143D"/>
    <w:rsid w:val="00D30118"/>
    <w:rsid w:val="00D83254"/>
    <w:rsid w:val="00D92D0A"/>
    <w:rsid w:val="00E4288B"/>
    <w:rsid w:val="00EB7CAD"/>
    <w:rsid w:val="00F62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BEB92"/>
  <w15:docId w15:val="{185BB47B-4F65-4B05-88F4-FF3FE3153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18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68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1"/>
    <w:qFormat/>
    <w:rsid w:val="007F256F"/>
    <w:pPr>
      <w:spacing w:after="160" w:line="259" w:lineRule="auto"/>
      <w:ind w:left="720"/>
      <w:contextualSpacing/>
    </w:pPr>
  </w:style>
  <w:style w:type="paragraph" w:styleId="a5">
    <w:name w:val="footnote text"/>
    <w:basedOn w:val="a"/>
    <w:link w:val="a6"/>
    <w:uiPriority w:val="99"/>
    <w:semiHidden/>
    <w:unhideWhenUsed/>
    <w:rsid w:val="00804D75"/>
    <w:pPr>
      <w:spacing w:after="0" w:line="240" w:lineRule="auto"/>
    </w:pPr>
    <w:rPr>
      <w:sz w:val="20"/>
      <w:szCs w:val="20"/>
    </w:rPr>
  </w:style>
  <w:style w:type="character" w:customStyle="1" w:styleId="a6">
    <w:name w:val="Текст сноски Знак"/>
    <w:basedOn w:val="a0"/>
    <w:link w:val="a5"/>
    <w:uiPriority w:val="99"/>
    <w:semiHidden/>
    <w:rsid w:val="00804D75"/>
    <w:rPr>
      <w:sz w:val="20"/>
      <w:szCs w:val="20"/>
    </w:rPr>
  </w:style>
  <w:style w:type="character" w:styleId="a7">
    <w:name w:val="footnote reference"/>
    <w:basedOn w:val="a0"/>
    <w:uiPriority w:val="99"/>
    <w:semiHidden/>
    <w:unhideWhenUsed/>
    <w:rsid w:val="00804D75"/>
    <w:rPr>
      <w:vertAlign w:val="superscript"/>
    </w:rPr>
  </w:style>
  <w:style w:type="paragraph" w:styleId="a8">
    <w:name w:val="Balloon Text"/>
    <w:basedOn w:val="a"/>
    <w:link w:val="a9"/>
    <w:uiPriority w:val="99"/>
    <w:semiHidden/>
    <w:unhideWhenUsed/>
    <w:rsid w:val="00D92D0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92D0A"/>
    <w:rPr>
      <w:rFonts w:ascii="Tahoma" w:hAnsi="Tahoma" w:cs="Tahoma"/>
      <w:sz w:val="16"/>
      <w:szCs w:val="16"/>
    </w:rPr>
  </w:style>
  <w:style w:type="paragraph" w:styleId="aa">
    <w:name w:val="Revision"/>
    <w:hidden/>
    <w:uiPriority w:val="99"/>
    <w:semiHidden/>
    <w:rsid w:val="00D301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B33C3-36CA-4295-AD33-0A98C20A0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1014</Words>
  <Characters>5785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User</cp:lastModifiedBy>
  <cp:revision>2</cp:revision>
  <dcterms:created xsi:type="dcterms:W3CDTF">2025-06-10T08:46:00Z</dcterms:created>
  <dcterms:modified xsi:type="dcterms:W3CDTF">2025-06-10T08:46:00Z</dcterms:modified>
</cp:coreProperties>
</file>