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r>
        <w:rPr>
          <w:sz w:val="24"/>
        </w:rPr>
        <w:t xml:space="preserve">программы</w:t>
      </w:r>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6"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7"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0"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3"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29"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bookmarkStart w:id="378" w:name="P378"/>
    <w:bookmarkEnd w:id="378"/>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78" w:tooltip="124. ЦПЭ проводит отбор комплексных акселерационных программ партнерской организаций, которые включают:">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3"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4" w:tooltip="Решение Совета Евразийской экономической комиссии от 14.09.2021 N 80 (ред. от 24.12.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6"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04.02.2026&amp;dst=76&amp;field=134" TargetMode = "External"/><Relationship Id="rId9" Type="http://schemas.openxmlformats.org/officeDocument/2006/relationships/hyperlink" Target="https://login.consultant.ru/link/?req=doc&amp;base=LAW&amp;n=507240&amp;date=04.02.2026&amp;dst=247&amp;field=134" TargetMode = "External"/><Relationship Id="rId10" Type="http://schemas.openxmlformats.org/officeDocument/2006/relationships/hyperlink" Target="https://login.consultant.ru/link/?req=doc&amp;base=LAW&amp;n=518935&amp;date=04.02.2026&amp;dst=766&amp;field=134" TargetMode = "External"/><Relationship Id="rId11" Type="http://schemas.openxmlformats.org/officeDocument/2006/relationships/hyperlink" Target="https://login.consultant.ru/link/?req=doc&amp;base=LAW&amp;n=519650&amp;date=04.02.2026&amp;dst=78531&amp;field=134" TargetMode = "External"/><Relationship Id="rId12" Type="http://schemas.openxmlformats.org/officeDocument/2006/relationships/hyperlink" Target="https://login.consultant.ru/link/?req=doc&amp;base=LAW&amp;n=519650&amp;date=04.02.2026&amp;dst=78642&amp;field=134" TargetMode = "External"/><Relationship Id="rId13" Type="http://schemas.openxmlformats.org/officeDocument/2006/relationships/hyperlink" Target="https://login.consultant.ru/link/?req=doc&amp;base=LAW&amp;n=471439&amp;date=04.02.2026" TargetMode = "External"/><Relationship Id="rId14" Type="http://schemas.openxmlformats.org/officeDocument/2006/relationships/hyperlink" Target="https://login.consultant.ru/link/?req=doc&amp;base=LAW&amp;n=413520&amp;date=04.02.2026" TargetMode = "External"/><Relationship Id="rId15" Type="http://schemas.openxmlformats.org/officeDocument/2006/relationships/hyperlink" Target="https://login.consultant.ru/link/?req=doc&amp;base=LAW&amp;n=471198&amp;date=04.02.2026" TargetMode = "External"/><Relationship Id="rId16" Type="http://schemas.openxmlformats.org/officeDocument/2006/relationships/hyperlink" Target="https://login.consultant.ru/link/?req=doc&amp;base=LAW&amp;n=333151&amp;date=04.02.2026" TargetMode = "External"/><Relationship Id="rId17" Type="http://schemas.openxmlformats.org/officeDocument/2006/relationships/hyperlink" Target="https://login.consultant.ru/link/?req=doc&amp;base=LAW&amp;n=319212&amp;date=04.02.2026" TargetMode = "External"/><Relationship Id="rId18" Type="http://schemas.openxmlformats.org/officeDocument/2006/relationships/hyperlink" Target="https://login.consultant.ru/link/?req=doc&amp;base=LAW&amp;n=519650&amp;date=04.02.2026&amp;dst=78642&amp;field=134" TargetMode = "External"/><Relationship Id="rId19" Type="http://schemas.openxmlformats.org/officeDocument/2006/relationships/hyperlink" Target="https://login.consultant.ru/link/?req=doc&amp;base=LAW&amp;n=499649&amp;date=04.02.2026" TargetMode = "External"/><Relationship Id="rId20" Type="http://schemas.openxmlformats.org/officeDocument/2006/relationships/hyperlink" Target="https://login.consultant.ru/link/?req=doc&amp;base=LAW&amp;n=510087&amp;date=04.02.2026&amp;dst=100273&amp;field=134" TargetMode = "External"/><Relationship Id="rId21" Type="http://schemas.openxmlformats.org/officeDocument/2006/relationships/hyperlink" Target="https://login.consultant.ru/link/?req=doc&amp;base=LAW&amp;n=519650&amp;date=04.02.2026&amp;dst=78533&amp;field=134" TargetMode = "External"/><Relationship Id="rId22" Type="http://schemas.openxmlformats.org/officeDocument/2006/relationships/hyperlink" Target="https://login.consultant.ru/link/?req=doc&amp;base=LAW&amp;n=510087&amp;date=04.02.2026&amp;dst=100010&amp;field=134" TargetMode = "External"/><Relationship Id="rId23" Type="http://schemas.openxmlformats.org/officeDocument/2006/relationships/hyperlink" Target="https://login.consultant.ru/link/?req=doc&amp;base=LAW&amp;n=519650&amp;date=04.02.2026&amp;dst=78642&amp;field=134" TargetMode = "External"/><Relationship Id="rId24" Type="http://schemas.openxmlformats.org/officeDocument/2006/relationships/hyperlink" Target="https://login.consultant.ru/link/?req=doc&amp;base=LAW&amp;n=519650&amp;date=04.02.2026&amp;dst=78533&amp;field=134" TargetMode = "External"/><Relationship Id="rId25" Type="http://schemas.openxmlformats.org/officeDocument/2006/relationships/hyperlink" Target="https://login.consultant.ru/link/?req=doc&amp;base=LAW&amp;n=519650&amp;date=04.02.2026&amp;dst=78533&amp;field=134" TargetMode = "External"/><Relationship Id="rId26" Type="http://schemas.openxmlformats.org/officeDocument/2006/relationships/hyperlink" Target="https://login.consultant.ru/link/?req=doc&amp;base=LAW&amp;n=519650&amp;date=04.02.2026&amp;dst=78533&amp;field=134" TargetMode = "External"/><Relationship Id="rId27" Type="http://schemas.openxmlformats.org/officeDocument/2006/relationships/hyperlink" Target="https://login.consultant.ru/link/?req=doc&amp;base=LAW&amp;n=519650&amp;date=04.02.2026&amp;dst=78533&amp;field=134" TargetMode = "External"/><Relationship Id="rId28" Type="http://schemas.openxmlformats.org/officeDocument/2006/relationships/hyperlink" Target="https://login.consultant.ru/link/?req=doc&amp;base=LAW&amp;n=500132&amp;date=04.02.2026" TargetMode = "External"/><Relationship Id="rId29" Type="http://schemas.openxmlformats.org/officeDocument/2006/relationships/hyperlink" Target="https://login.consultant.ru/link/?req=doc&amp;base=LAW&amp;n=460734&amp;date=04.02.2026&amp;dst=100457&amp;field=134" TargetMode = "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yperlink" Target="https://login.consultant.ru/link/?req=doc&amp;base=LAW&amp;n=518477&amp;date=04.02.2026" TargetMode = "External"/><Relationship Id="rId33" Type="http://schemas.openxmlformats.org/officeDocument/2006/relationships/hyperlink" Target="https://login.consultant.ru/link/?req=doc&amp;base=LAW&amp;n=523183&amp;date=04.02.2026&amp;dst=100162&amp;field=134" TargetMode = "External"/><Relationship Id="rId34" Type="http://schemas.openxmlformats.org/officeDocument/2006/relationships/hyperlink" Target="https://login.consultant.ru/link/?req=doc&amp;base=LAW&amp;n=523183&amp;date=04.02.2026" TargetMode = "External"/><Relationship Id="rId35" Type="http://schemas.openxmlformats.org/officeDocument/2006/relationships/hyperlink" Target="https://login.consultant.ru/link/?req=doc&amp;base=LAW&amp;n=476082&amp;date=04.02.2026" TargetMode = "External"/><Relationship Id="rId36" Type="http://schemas.openxmlformats.org/officeDocument/2006/relationships/hyperlink" Target="https://login.consultant.ru/link/?req=doc&amp;base=LAW&amp;n=169401&amp;date=04.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2026-02-04T07:18:20Z</dcterms:created>
</cp:coreProperties>
</file>