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9E" w:rsidRDefault="008E199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E199E" w:rsidRDefault="008E199E">
      <w:pPr>
        <w:pStyle w:val="ConsPlusNormal"/>
        <w:jc w:val="both"/>
        <w:outlineLvl w:val="0"/>
      </w:pPr>
    </w:p>
    <w:p w:rsidR="008E199E" w:rsidRDefault="008E199E">
      <w:pPr>
        <w:pStyle w:val="ConsPlusTitle"/>
        <w:jc w:val="center"/>
        <w:outlineLvl w:val="0"/>
      </w:pPr>
      <w:r>
        <w:t>ПРАВИТЕЛЬСТВО ПЕНЗЕНСКОЙ ОБЛАСТИ</w:t>
      </w:r>
    </w:p>
    <w:p w:rsidR="008E199E" w:rsidRDefault="008E199E">
      <w:pPr>
        <w:pStyle w:val="ConsPlusTitle"/>
        <w:jc w:val="center"/>
      </w:pPr>
    </w:p>
    <w:p w:rsidR="008E199E" w:rsidRDefault="008E199E">
      <w:pPr>
        <w:pStyle w:val="ConsPlusTitle"/>
        <w:jc w:val="center"/>
      </w:pPr>
      <w:r>
        <w:t>ПОСТАНОВЛЕНИЕ</w:t>
      </w:r>
    </w:p>
    <w:p w:rsidR="008E199E" w:rsidRDefault="008E199E">
      <w:pPr>
        <w:pStyle w:val="ConsPlusTitle"/>
        <w:jc w:val="center"/>
      </w:pPr>
      <w:r>
        <w:t>от 21 октября 2013 г. N 780-пП</w:t>
      </w:r>
    </w:p>
    <w:p w:rsidR="008E199E" w:rsidRDefault="008E199E">
      <w:pPr>
        <w:pStyle w:val="ConsPlusTitle"/>
        <w:jc w:val="center"/>
      </w:pPr>
    </w:p>
    <w:p w:rsidR="008E199E" w:rsidRDefault="008E199E">
      <w:pPr>
        <w:pStyle w:val="ConsPlusTitle"/>
        <w:jc w:val="center"/>
      </w:pPr>
      <w:r>
        <w:t>ОБ УТВЕРЖДЕНИИ ГОСУДАРСТВЕННОЙ ПРОГРАММЫ ПЕНЗЕНСКОЙ ОБЛАСТИ</w:t>
      </w:r>
    </w:p>
    <w:p w:rsidR="008E199E" w:rsidRDefault="008E199E">
      <w:pPr>
        <w:pStyle w:val="ConsPlusTitle"/>
        <w:jc w:val="center"/>
      </w:pPr>
      <w:r>
        <w:t>"РАЗВИТИЕ ИНВЕСТИЦИОННОГО ПОТЕНЦИАЛА, ИННОВАЦИОННОЙ</w:t>
      </w:r>
    </w:p>
    <w:p w:rsidR="008E199E" w:rsidRDefault="008E199E">
      <w:pPr>
        <w:pStyle w:val="ConsPlusTitle"/>
        <w:jc w:val="center"/>
      </w:pPr>
      <w:r>
        <w:t>ДЕЯТЕЛЬНОСТИ И ПРЕДПРИНИМАТЕЛЬСТВА В ПЕНЗЕНСКОЙ ОБЛАСТИ"</w:t>
      </w:r>
    </w:p>
    <w:p w:rsidR="008E199E" w:rsidRDefault="008E19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199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99E" w:rsidRDefault="008E19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99E" w:rsidRDefault="008E19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199E" w:rsidRDefault="008E19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199E" w:rsidRDefault="008E19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09.12.2024 </w:t>
            </w:r>
            <w:hyperlink r:id="rId5">
              <w:r>
                <w:rPr>
                  <w:color w:val="0000FF"/>
                </w:rPr>
                <w:t>N 995-пП</w:t>
              </w:r>
            </w:hyperlink>
            <w:r>
              <w:rPr>
                <w:color w:val="392C69"/>
              </w:rPr>
              <w:t>,</w:t>
            </w:r>
          </w:p>
          <w:p w:rsidR="008E199E" w:rsidRDefault="008E19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6">
              <w:r>
                <w:rPr>
                  <w:color w:val="0000FF"/>
                </w:rPr>
                <w:t>N 1116-пП</w:t>
              </w:r>
            </w:hyperlink>
            <w:r>
              <w:rPr>
                <w:color w:val="392C69"/>
              </w:rPr>
              <w:t xml:space="preserve">, </w:t>
            </w:r>
            <w:bookmarkStart w:id="0" w:name="_GoBack"/>
            <w:r>
              <w:rPr>
                <w:color w:val="392C69"/>
              </w:rPr>
              <w:t xml:space="preserve">от 24.04.2025 </w:t>
            </w:r>
            <w:hyperlink r:id="rId7">
              <w:r>
                <w:rPr>
                  <w:color w:val="0000FF"/>
                </w:rPr>
                <w:t>N 397-пП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99E" w:rsidRDefault="008E199E">
            <w:pPr>
              <w:pStyle w:val="ConsPlusNormal"/>
            </w:pPr>
          </w:p>
        </w:tc>
      </w:tr>
    </w:tbl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ind w:firstLine="540"/>
        <w:jc w:val="both"/>
      </w:pPr>
      <w:r>
        <w:t xml:space="preserve">В соответствии с постановлениями Правительства Пензенской области от 28.09.2023 </w:t>
      </w:r>
      <w:hyperlink r:id="rId8">
        <w:r>
          <w:rPr>
            <w:color w:val="0000FF"/>
          </w:rPr>
          <w:t>N 848-пП</w:t>
        </w:r>
      </w:hyperlink>
      <w:r>
        <w:t xml:space="preserve"> "Об утверждении Порядка разработки и реализации государственных программ Пензенской области" (с последующими изменениями) и от 11.10.2012 </w:t>
      </w:r>
      <w:hyperlink r:id="rId9">
        <w:r>
          <w:rPr>
            <w:color w:val="0000FF"/>
          </w:rPr>
          <w:t>N 718-пП</w:t>
        </w:r>
      </w:hyperlink>
      <w:r>
        <w:t xml:space="preserve"> "Об утверждении Перечня государственных программ Пензенской области" (с последующими изменениями), руководствуясь </w:t>
      </w:r>
      <w:hyperlink r:id="rId10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32">
        <w:r>
          <w:rPr>
            <w:color w:val="0000FF"/>
          </w:rPr>
          <w:t>программу</w:t>
        </w:r>
      </w:hyperlink>
      <w:r>
        <w:t xml:space="preserve"> Пензенской области "Развитие инвестиционного потенциала, инновационной деятельности и предпринимательства в Пензенской области".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1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jc w:val="right"/>
      </w:pPr>
      <w:r>
        <w:t>Председатель Правительства</w:t>
      </w:r>
    </w:p>
    <w:p w:rsidR="008E199E" w:rsidRDefault="008E199E">
      <w:pPr>
        <w:pStyle w:val="ConsPlusNormal"/>
        <w:jc w:val="right"/>
      </w:pPr>
      <w:r>
        <w:t>Пензенской области</w:t>
      </w:r>
    </w:p>
    <w:p w:rsidR="008E199E" w:rsidRDefault="008E199E">
      <w:pPr>
        <w:pStyle w:val="ConsPlusNormal"/>
        <w:jc w:val="right"/>
      </w:pPr>
      <w:r>
        <w:t>Н.П.СИМОНОВ</w:t>
      </w: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jc w:val="right"/>
        <w:outlineLvl w:val="0"/>
      </w:pPr>
      <w:r>
        <w:t>Утверждена</w:t>
      </w:r>
    </w:p>
    <w:p w:rsidR="008E199E" w:rsidRDefault="008E199E">
      <w:pPr>
        <w:pStyle w:val="ConsPlusNormal"/>
        <w:jc w:val="right"/>
      </w:pPr>
      <w:r>
        <w:t>постановлением</w:t>
      </w:r>
    </w:p>
    <w:p w:rsidR="008E199E" w:rsidRDefault="008E199E">
      <w:pPr>
        <w:pStyle w:val="ConsPlusNormal"/>
        <w:jc w:val="right"/>
      </w:pPr>
      <w:r>
        <w:t>Правительства Пензенской области</w:t>
      </w:r>
    </w:p>
    <w:p w:rsidR="008E199E" w:rsidRDefault="008E199E">
      <w:pPr>
        <w:pStyle w:val="ConsPlusNormal"/>
        <w:jc w:val="right"/>
      </w:pPr>
      <w:r>
        <w:t>от 21 октября 2013 г. N 780-пП</w:t>
      </w: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Title"/>
        <w:jc w:val="center"/>
      </w:pPr>
      <w:bookmarkStart w:id="1" w:name="P32"/>
      <w:bookmarkEnd w:id="1"/>
      <w:r>
        <w:t>ГОСУДАРСТВЕННАЯ ПРОГРАММА</w:t>
      </w:r>
    </w:p>
    <w:p w:rsidR="008E199E" w:rsidRDefault="008E199E">
      <w:pPr>
        <w:pStyle w:val="ConsPlusTitle"/>
        <w:jc w:val="center"/>
      </w:pPr>
      <w:r>
        <w:lastRenderedPageBreak/>
        <w:t>ПЕНЗЕНСКОЙ ОБЛАСТИ "РАЗВИТИЕ ИНВЕСТИЦИОННОГО ПОТЕНЦИАЛА,</w:t>
      </w:r>
    </w:p>
    <w:p w:rsidR="008E199E" w:rsidRDefault="008E199E">
      <w:pPr>
        <w:pStyle w:val="ConsPlusTitle"/>
        <w:jc w:val="center"/>
      </w:pPr>
      <w:r>
        <w:t>ИННОВАЦИОННОЙ ДЕЯТЕЛЬНОСТИ И ПРЕДПРИНИМАТЕЛЬСТВА</w:t>
      </w:r>
    </w:p>
    <w:p w:rsidR="008E199E" w:rsidRDefault="008E199E">
      <w:pPr>
        <w:pStyle w:val="ConsPlusTitle"/>
        <w:jc w:val="center"/>
      </w:pPr>
      <w:r>
        <w:t>В ПЕНЗЕНСКОЙ ОБЛАСТИ"</w:t>
      </w:r>
    </w:p>
    <w:p w:rsidR="008E199E" w:rsidRDefault="008E19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199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99E" w:rsidRDefault="008E19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99E" w:rsidRDefault="008E19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199E" w:rsidRDefault="008E19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199E" w:rsidRDefault="008E199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8E199E" w:rsidRDefault="008E19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2">
              <w:r>
                <w:rPr>
                  <w:color w:val="0000FF"/>
                </w:rPr>
                <w:t>N 1116-пП</w:t>
              </w:r>
            </w:hyperlink>
            <w:r>
              <w:rPr>
                <w:color w:val="392C69"/>
              </w:rPr>
              <w:t xml:space="preserve">, от 24.04.2025 </w:t>
            </w:r>
            <w:hyperlink r:id="rId13">
              <w:r>
                <w:rPr>
                  <w:color w:val="0000FF"/>
                </w:rPr>
                <w:t>N 397-пП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199E" w:rsidRDefault="008E199E">
            <w:pPr>
              <w:pStyle w:val="ConsPlusNormal"/>
            </w:pPr>
          </w:p>
        </w:tc>
      </w:tr>
    </w:tbl>
    <w:p w:rsidR="008E199E" w:rsidRDefault="008E199E">
      <w:pPr>
        <w:pStyle w:val="ConsPlusNormal"/>
        <w:jc w:val="both"/>
      </w:pPr>
    </w:p>
    <w:p w:rsidR="008E199E" w:rsidRDefault="008E199E">
      <w:pPr>
        <w:pStyle w:val="ConsPlusTitle"/>
        <w:jc w:val="center"/>
        <w:outlineLvl w:val="1"/>
      </w:pPr>
      <w:r>
        <w:t>Приоритеты</w:t>
      </w:r>
    </w:p>
    <w:p w:rsidR="008E199E" w:rsidRDefault="008E199E">
      <w:pPr>
        <w:pStyle w:val="ConsPlusTitle"/>
        <w:jc w:val="center"/>
      </w:pPr>
      <w:r>
        <w:t>государственной политики, цели, задачи, в рамках которых</w:t>
      </w:r>
    </w:p>
    <w:p w:rsidR="008E199E" w:rsidRDefault="008E199E">
      <w:pPr>
        <w:pStyle w:val="ConsPlusTitle"/>
        <w:jc w:val="center"/>
      </w:pPr>
      <w:r>
        <w:t>реализуется Программа, оценка текущего состояния малого</w:t>
      </w:r>
    </w:p>
    <w:p w:rsidR="008E199E" w:rsidRDefault="008E199E">
      <w:pPr>
        <w:pStyle w:val="ConsPlusTitle"/>
        <w:jc w:val="center"/>
      </w:pPr>
      <w:r>
        <w:t>и среднего предпринимательства, инвестиционной активности,</w:t>
      </w:r>
    </w:p>
    <w:p w:rsidR="008E199E" w:rsidRDefault="008E199E">
      <w:pPr>
        <w:pStyle w:val="ConsPlusTitle"/>
        <w:jc w:val="center"/>
      </w:pPr>
      <w:r>
        <w:t>инновационной деятельности</w:t>
      </w:r>
    </w:p>
    <w:p w:rsidR="008E199E" w:rsidRDefault="008E199E">
      <w:pPr>
        <w:pStyle w:val="ConsPlusNormal"/>
        <w:jc w:val="center"/>
      </w:pPr>
    </w:p>
    <w:p w:rsidR="008E199E" w:rsidRDefault="008E199E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8E199E" w:rsidRDefault="008E199E">
      <w:pPr>
        <w:pStyle w:val="ConsPlusNormal"/>
        <w:jc w:val="center"/>
      </w:pPr>
      <w:r>
        <w:t>от 24.04.2025 N 397-пП)</w:t>
      </w: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ind w:firstLine="540"/>
        <w:jc w:val="both"/>
      </w:pPr>
      <w:r>
        <w:t xml:space="preserve">Приоритеты государственной политики в сфере реализации государственной программы сформированы на основе указов Президента Российской Федерации от 28.11.2024 </w:t>
      </w:r>
      <w:hyperlink r:id="rId15">
        <w:r>
          <w:rPr>
            <w:color w:val="0000FF"/>
          </w:rPr>
          <w:t>N 1014</w:t>
        </w:r>
      </w:hyperlink>
      <w:r>
        <w:t xml:space="preserve">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Федерации", от 07.05.2024 </w:t>
      </w:r>
      <w:hyperlink r:id="rId16">
        <w:r>
          <w:rPr>
            <w:color w:val="0000FF"/>
          </w:rPr>
          <w:t>N 309</w:t>
        </w:r>
      </w:hyperlink>
      <w:r>
        <w:t xml:space="preserve"> "О национальных целях развития Российской Федерации на период до 2030 года и на перспективу до 2036 года", </w:t>
      </w:r>
      <w:hyperlink r:id="rId17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Пензенской области на период до 2035 года, утвержденной Законом Пензенской области от 15.05.2019 N 3323-ЗПО (далее - Стратегия социально-экономического развития Пензенской области).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Реализация Программы непосредственно направлена на достижение национальной цели развития Российской Федерации на период до 2030 года и на перспективу до 2036 года - "Устойчивая и динамичная экономика", в рамках которой установлены целевые показатели, в том числе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климата, 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продукта, а также увеличение доли креативных (творческих) индустрий в экономике.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Программа соответствует целям и задачам долгосрочной государственной экономической политики Российской Федерации. Реализация мероприятий осуществляется в рамках двух направлений Стратегии социально-экономического развития Пензенской области: "Пензенская область - территория опережающего экономического роста" и "Пензенская область - регион, привлекательный для развития бизнеса".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К числу приоритетов Программы отнесены: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активное продвижение региона на федеральных и международных площадках как инвестиционно-привлекательного региона;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постоянное совершенствование нормативно-правовой базы в области поддержки инвестиционной привлекательности;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развитие организационно-технологической инфраструктуры поддержки бизнеса: территорий опережающего развития (далее - ТОР), индустриальных парков, территориально-отраслевых кластеров;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lastRenderedPageBreak/>
        <w:t xml:space="preserve">- стимулирование и поддержка </w:t>
      </w:r>
      <w:proofErr w:type="spellStart"/>
      <w:r>
        <w:t>экспортно</w:t>
      </w:r>
      <w:proofErr w:type="spellEnd"/>
      <w:r>
        <w:t xml:space="preserve"> ориентированных отраслей и отдельных предприятий;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- совершенствование условий для развития инновационной деятельности экономических субъектов на территории Пензенской области, развитие </w:t>
      </w:r>
      <w:proofErr w:type="spellStart"/>
      <w:r>
        <w:t>внутрирегионального</w:t>
      </w:r>
      <w:proofErr w:type="spellEnd"/>
      <w:r>
        <w:t xml:space="preserve"> спроса на инновации;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совершенствование механизмов взаимодействия государства и бизнеса;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- создание благоприятных условий для осуществления деятельности </w:t>
      </w:r>
      <w:proofErr w:type="spellStart"/>
      <w:r>
        <w:t>самозанятыми</w:t>
      </w:r>
      <w:proofErr w:type="spellEnd"/>
      <w:r>
        <w:t xml:space="preserve"> гражданами;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создание условий для легкого старта и комфортного ведения бизнеса;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создание комплексной системы акселерации, включающей в себя финансовые и налоговые инструменты поддержки субъектов малого и среднего предпринимательства (далее - МСП), а также инфраструктуру для комфортной работы и развития субъектов МСП.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целях преодоления актуальных вызовов, с которыми сталкивается национальная экономика, а также достижения стратегических целей и задач социально-экономического развития Пензенской области определены цели, разработаны структура и система показателей Программы.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Мероприятия Программы направлены на создание благоприятного предпринимательского климата и условий для ведения бизнеса, стимулирование инвестиционной активности, развитие инновационной деятельности, что в свою очередь будет способствовать повышению конкурентоспособности российской экономики и созданию условий для экономического роста Российской Федерации в целом.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Инвестиционное развитие оказывает прямое влияние на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Пензенской области.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настоящее время для "оживления" экономики Пензенской области необходим значительный приток средств частных инвесторов и прежде всего крупного корпоративного национального капитала, сумевших наиболее успешно адаптироваться к условиям рынка и способных обеспечить высокую отдачу от инвестируемых средств.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Отличительные особенности Пензенской области - выгодное географическое положение, развитая система транспортных коммуникаций и связи, высокий образовательный и квалификационный уровень рабочих и инженерно-технических кадров, большой промышленный и научный потенциал, стабильная общественно-политическая ситуация - позволяют рассчитывать на особую заинтересованность регионом со стороны крупных частных инвесторов, в том числе и иностранных.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Инвестиционная политика региона включает в себя ряд мероприятий по созданию на территории области благоприятного инвестиционного климата для потенциальных инвесторов, в том числе иностранных. Действует нормативная правовая база, в том числе в сфере государственно-частного партнерства, предусматривающая широкий спектр поддержки инвестиционной деятельности, в том числе льготное налогообложение, предоставление субсидий.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 соответствии со Стратегией социально-экономического развития Пензенской области дополнительным показателем развития инвестиционной деятельности в Пензенской области должен стать рост доли инвестиций в валовом региональном продукте. Исходя из прогноза объема валового регионального продукта по Пензенской области и установленных значений </w:t>
      </w:r>
      <w:r>
        <w:lastRenderedPageBreak/>
        <w:t>роста объема инвестиций, их доля в валовом региональном продукте Пензенской области в 2030 году составит 20,1%.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Подавляющая часть инвестиций в основной капитал направляется на следующие виды деятельности: обрабатывающие производства, сельское хозяйство, транспортировка и хранение, обеспечение электрической энергией, газом и паром, образование, здравоохранение и социальное обеспечение, культура, спорт, организация досуга и развлечений, торговля, операции с недвижимым имуществом, государственное управление и обеспечение военной безопасности, деятельность в области информации и связи, профессиональная, научная и техническая деятельность.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Вместе с тем анализ инвестиционной деятельности показывает, что преимущественная концентрация вновь создаваемых промышленных производств происходит там, где имеется в наличии развитая инженерная инфраструктура и возможность привлечения квалифицированных трудовых ресурсов.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Среди субъектов Российской Федерации ведется постоянная конкуренция за создание более привлекательного инвестиционного климата с целью увеличения объемов инвестиций, вкладываемых инвесторами в развитие региональной экономики.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Пензенской области, имеющей все предпосылки для привлечения как внутренних, так и внешних инвестиций, необходимо формировать и постоянно актуализировать банк инвестиционных предложений, в том числе свободных земельных участков, производственных помещений, ресурсных площадок.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регионе продолжается формирование инфраструктуры поддержки инвестиционной деятельности - индустриальных парков и промышленных технопарков.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На сегодняшний день в Пензенской области функционирует индустриальный парк "</w:t>
      </w:r>
      <w:proofErr w:type="spellStart"/>
      <w:r>
        <w:t>Отвель</w:t>
      </w:r>
      <w:proofErr w:type="spellEnd"/>
      <w:r>
        <w:t xml:space="preserve">" (с. </w:t>
      </w:r>
      <w:proofErr w:type="spellStart"/>
      <w:r>
        <w:t>Кижеватово</w:t>
      </w:r>
      <w:proofErr w:type="spellEnd"/>
      <w:r>
        <w:t xml:space="preserve">, </w:t>
      </w:r>
      <w:proofErr w:type="spellStart"/>
      <w:r>
        <w:t>Бессоновский</w:t>
      </w:r>
      <w:proofErr w:type="spellEnd"/>
      <w:r>
        <w:t xml:space="preserve"> район), созданы две промышленные площадки: промышленный технопарк "Союз" в г. Пензе и индустриальный парк "</w:t>
      </w:r>
      <w:proofErr w:type="spellStart"/>
      <w:r>
        <w:t>Сердобский</w:t>
      </w:r>
      <w:proofErr w:type="spellEnd"/>
      <w:r>
        <w:t xml:space="preserve"> промышленный парк "Мастер" в г. Сердобске Пензенской области.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2026 - 2029 годах в г. Пензе планируется создание индустриального парка "Заря". В настоящее время сформирован пул инвестиционных проектов для размещения на данной территории.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Для реализации инвестиционных проектов на территории индустриального парка "Заря" необходимы следующие мощности инфраструктуры: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электроснабжение - 27 МВт/час;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газоснабжение - 4000 куб. м/час;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водоснабжение - 500 куб. м/</w:t>
      </w:r>
      <w:proofErr w:type="spellStart"/>
      <w:r>
        <w:t>сут</w:t>
      </w:r>
      <w:proofErr w:type="spellEnd"/>
      <w:r>
        <w:t>.;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водоотведение - 500 куб. м/</w:t>
      </w:r>
      <w:proofErr w:type="spellStart"/>
      <w:r>
        <w:t>сут</w:t>
      </w:r>
      <w:proofErr w:type="spellEnd"/>
      <w:r>
        <w:t>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С целью обеспечения привлекательного инвестиционного климата в </w:t>
      </w:r>
      <w:proofErr w:type="spellStart"/>
      <w:r>
        <w:t>монопрофильных</w:t>
      </w:r>
      <w:proofErr w:type="spellEnd"/>
      <w:r>
        <w:t xml:space="preserve"> муниципальных образованиях Пензенской области на </w:t>
      </w:r>
      <w:proofErr w:type="gramStart"/>
      <w:r>
        <w:t>территории</w:t>
      </w:r>
      <w:proofErr w:type="gramEnd"/>
      <w:r>
        <w:t xml:space="preserve"> ЗАТО г. Заречного и г. Сердобска </w:t>
      </w:r>
      <w:proofErr w:type="spellStart"/>
      <w:r>
        <w:t>Сердобского</w:t>
      </w:r>
      <w:proofErr w:type="spellEnd"/>
      <w:r>
        <w:t xml:space="preserve"> района созданы территории опережающего развития.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Федеральные инструменты поддержки территорий опережающего развития, созданных в </w:t>
      </w:r>
      <w:proofErr w:type="spellStart"/>
      <w:r>
        <w:t>монопрофильных</w:t>
      </w:r>
      <w:proofErr w:type="spellEnd"/>
      <w:r>
        <w:t xml:space="preserve"> муниципальных образованиях, позволят обеспечить создание благоприятной среды для привлечения инвестиций в моногорода и развитие новых видов экономической деятельности.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lastRenderedPageBreak/>
        <w:t>Правительство Пензенской области проводит активную работу по позиционированию инвестиционной привлекательности региона.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Ежегодно Пензенская область принимает участие в крупнейшем деловом российском мероприятии в экономической сфере Петербургском международном экономическом форуме, на котором устанавливаются деловые контакты с инвесторами, заключаются протоколы о намерениях.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2024 году подтвержден рейтинг кредитоспособности Пензенской области со стабильным прогнозом на уровне BBB+ (RU) по Национальной рейтинговой шкале. Это наивысший рейтинг в данной группе, он обусловлен стабильными показателями экономики и бюджетного профиля, а также умеренно низкой долговой нагрузкой. Данные показатели остаются неизменными для региона с 2018 года.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Ряд крупных компаний, в том числе ГК "</w:t>
      </w:r>
      <w:proofErr w:type="spellStart"/>
      <w:r>
        <w:t>Дамате</w:t>
      </w:r>
      <w:proofErr w:type="spellEnd"/>
      <w:r>
        <w:t xml:space="preserve">", ГК "Черкизово", ООО "Дукат </w:t>
      </w:r>
      <w:proofErr w:type="spellStart"/>
      <w:r>
        <w:t>Новосад</w:t>
      </w:r>
      <w:proofErr w:type="spellEnd"/>
      <w:r>
        <w:t>", ООО "</w:t>
      </w:r>
      <w:proofErr w:type="spellStart"/>
      <w:r>
        <w:t>Вайлдберриз</w:t>
      </w:r>
      <w:proofErr w:type="spellEnd"/>
      <w:r>
        <w:t>", ООО "</w:t>
      </w:r>
      <w:proofErr w:type="spellStart"/>
      <w:r>
        <w:t>Сердобский</w:t>
      </w:r>
      <w:proofErr w:type="spellEnd"/>
      <w:r>
        <w:t xml:space="preserve"> элеватор", ООО "Терра Савина" АО "Молком" и другие, осуществляют и планируют реализацию в Пензенской области инвестиционных проектов, в основном сельскохозяйственного и индустриального направления, общей инвестиционной емкостью более 93 млрд рублей.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Цель внешнеэкономической политики Пензенской области в долгосрочной перспективе - повышение конкурентоспособности региональной экономики, содействие эффективному и устойчивому функционированию организаций-экспортеров региона на внешних рынках, увеличение экспортных поставок, рост объема экспорта, увеличение в его структуре продукции с высокой долей добавленной стоимости.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Реализация единой региональной политики в сфере координации внешнеэкономической деятельности осуществляется в том числе за счет участия Пензенской области в презентационных, выставочных и иных мероприятиях как на территории Российской Федерации, так и за ее пределами, повышения компетенций по внешнеэкономической деятельности сотрудников предприятий.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2024 году продукция региона отправлялась в 67 стран мира. Крупнейшими торговыми партнерами стали Казахстан, Беларусь, Китай, Узбекистан и Кыргызстан. Объем экспорта составил 23,8 млрд рублей.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Товарная структура представлена: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продовольственными товарами и сырьем;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машинами, оборудованием и транспортными средствами;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металлами и изделиями из них;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корпусной мебелью и стеклом, древесиной и целлюлозно-бумажными изделиями.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Пензенская область активно расширяет сотрудничество со странами СНГ и дальнего зарубежья. В 2024 году в рамках </w:t>
      </w:r>
      <w:proofErr w:type="spellStart"/>
      <w:r>
        <w:t>конгрессно</w:t>
      </w:r>
      <w:proofErr w:type="spellEnd"/>
      <w:r>
        <w:t xml:space="preserve">-выставочных мероприятий, форумов, бизнес-миссий делегации Пензенской области посетили г. Худжанд Согдийской области Республики Таджикистан, г. Ташкент Республики Узбекистан, г. Алматы Республики Казахстан, г. Минск, г. Брест, г. Витебск Республики Беларусь, с. </w:t>
      </w:r>
      <w:proofErr w:type="spellStart"/>
      <w:r>
        <w:t>Бостери</w:t>
      </w:r>
      <w:proofErr w:type="spellEnd"/>
      <w:r>
        <w:t xml:space="preserve"> Иссык-Кульской области </w:t>
      </w:r>
      <w:proofErr w:type="spellStart"/>
      <w:r>
        <w:t>Кыргызской</w:t>
      </w:r>
      <w:proofErr w:type="spellEnd"/>
      <w:r>
        <w:t xml:space="preserve"> Республики, г. Баку Республики Азербайджан, провинцию </w:t>
      </w:r>
      <w:proofErr w:type="spellStart"/>
      <w:r>
        <w:t>Шэньси</w:t>
      </w:r>
      <w:proofErr w:type="spellEnd"/>
      <w:r>
        <w:t xml:space="preserve"> и </w:t>
      </w:r>
      <w:proofErr w:type="spellStart"/>
      <w:r>
        <w:t>Гуандун</w:t>
      </w:r>
      <w:proofErr w:type="spellEnd"/>
      <w:r>
        <w:t xml:space="preserve"> Китайской Народной Республики (далее - КНР).</w:t>
      </w:r>
    </w:p>
    <w:p w:rsidR="008E199E" w:rsidRDefault="008E199E">
      <w:pPr>
        <w:pStyle w:val="ConsPlusNormal"/>
        <w:spacing w:before="220"/>
        <w:ind w:firstLine="540"/>
        <w:jc w:val="both"/>
      </w:pPr>
      <w:proofErr w:type="gramStart"/>
      <w:r>
        <w:t>С ответном визитом</w:t>
      </w:r>
      <w:proofErr w:type="gramEnd"/>
      <w:r>
        <w:t xml:space="preserve"> Пензенскую область посетили делегации из Самаркандской, Андижанской и Бухарской областей Республики Узбекистан; г. Минска и г. Бреста Республики </w:t>
      </w:r>
      <w:r>
        <w:lastRenderedPageBreak/>
        <w:t xml:space="preserve">Беларусь, провинции </w:t>
      </w:r>
      <w:proofErr w:type="spellStart"/>
      <w:r>
        <w:t>Шэньси</w:t>
      </w:r>
      <w:proofErr w:type="spellEnd"/>
      <w:r>
        <w:t xml:space="preserve"> КНР, а также Первый секретарь Генерального консульства Республики Узбекистан в г. Казань </w:t>
      </w:r>
      <w:proofErr w:type="spellStart"/>
      <w:r>
        <w:t>Давронов</w:t>
      </w:r>
      <w:proofErr w:type="spellEnd"/>
      <w:r>
        <w:t xml:space="preserve"> К.Г.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Между Правительством Пензенской области и </w:t>
      </w:r>
      <w:proofErr w:type="spellStart"/>
      <w:r>
        <w:t>Хокимиятом</w:t>
      </w:r>
      <w:proofErr w:type="spellEnd"/>
      <w:r>
        <w:t xml:space="preserve"> Бухарской области Республики Узбекистан в 2024 году подписано соглашение об осуществлении международных и внешнеэкономических связей в торгово-экономической, научно-технической и гуманитарной сферах, также заключено соглашение между Торгово-промышленной палатой Республики Узбекистан Бухарской области и Союзом "Пензенская областная торгово-промышленная палата". Правительством Пензенской области и Правительством Республики Беларусь подписан Протокол третьего заседания рабочей группы по сотрудничеству Пензенской области Российской Федерации и Республики Беларусь. Подписаны коммерческие соглашения на поставку продукции и Меморандум о развитии побратимских отношений между городом Пенза Пензенской области Российской Федерации и городом </w:t>
      </w:r>
      <w:proofErr w:type="spellStart"/>
      <w:r>
        <w:t>Баоцзы</w:t>
      </w:r>
      <w:proofErr w:type="spellEnd"/>
      <w:r>
        <w:t xml:space="preserve"> провинции </w:t>
      </w:r>
      <w:proofErr w:type="spellStart"/>
      <w:r>
        <w:t>Шэньси</w:t>
      </w:r>
      <w:proofErr w:type="spellEnd"/>
      <w:r>
        <w:t xml:space="preserve"> Китайской Народной Республики.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 - важнейшее направление экономических реформ Правительства Российской Федерации, способствующее развитию конкурентной рыночной среды, наполнению потребительского рынка товарами и услугами, созданию новых рабочих мест, формированию широкого круга собственников.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Малые и средние предприятия реализуют две важнейшие цели: экономическую - производство товаров и услуг, социальную - обеспечение занятости.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Развитие сектора МСП оказывает прямое влияние на экономический рост, внедрение инновационных технологий,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региона.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На начало 2025 года малый и средний бизнес Пензенской области насчитывает 46726 субъектов МСП, численность занятых в сфере малого и среднего предпринимательства составила более 220 тыс. человек. Вновь создано 7510 субъектов МСП, из которых 6580 единиц - индивидуальные предприниматели, 930 единиц - юридические лица. На конец 2024 года в регионе зарегистрировано 68141 </w:t>
      </w:r>
      <w:proofErr w:type="spellStart"/>
      <w:r>
        <w:t>самозанятых</w:t>
      </w:r>
      <w:proofErr w:type="spellEnd"/>
      <w:r>
        <w:t xml:space="preserve"> граждан, статус социального предприятия присвоен 92 субъектам МСП.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С 2019 года в Пензенской области функционирует НКО "Фонд поддержки предпринимательства Пензенской области" (далее - Фонд), который является "единым окном" предоставления услуг для субъектов малого и среднего бизнеса в регионе. В структуру Фонда вошли Центр поддержки предпринимательства, Центр поддержки экспорта, Центр инноваций социальной сферы, Центр развития креативных индустрий и Центр компетенций в сфере сельскохозяйственной кооперации и поддержки фермеров.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Центр поддержки предпринимательства (далее - ЦПП), который является институтом информационной и образовательной поддержки предпринимательства, за помощью может обратиться представитель малого и среднего бизнеса, а также любой гражданин, проживающий в Пензенской области и желающий открыть свое дело. Сотрудники ЦПП занимаются проведением обучающих мероприятий для предпринимателей с привлечением профильных экспертов, а также ведут обучение по программам АО "Корпорация МСП": начинающие бизнесмены обучаются азам по программе "Азбука предпринимателя", а для уже начавших свое дело бизнесменов существует "Школа предпринимательства", помогающая развиваться, улучшать предпринимательские навыки руководителей и специалистов.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Ключевым звеном в инфраструктуре поддержки экспорта в регионе является Центр поддержки экспорта (далее - ЦПЭ). Основной деятельностью ЦПЭ является оказание </w:t>
      </w:r>
      <w:proofErr w:type="spellStart"/>
      <w:r>
        <w:t>экспортно</w:t>
      </w:r>
      <w:proofErr w:type="spellEnd"/>
      <w:r>
        <w:t xml:space="preserve"> ориентированным субъектам МСП информационно-консультационных и образовательных услуг по вопросам ведения внешнеэкономической деятельности, содействие в размещении продукции </w:t>
      </w:r>
      <w:r>
        <w:lastRenderedPageBreak/>
        <w:t>на электронных торговых площадках, организация участия предпринимателей региона в международных отраслевых выставках и бизнес-миссиях, в том числе за рубежом. Оказываемая поддержка способствует популяризации товаров пензенских производителей на рынках зарубежных стран, расширению географии экспортных поставок, заключению новых контрактов с зарубежными партнерами, увеличению объема экспортируемой продукции пензенских товаропроизводителей.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Центр инноваций социальной сферы является платформой для профессионального взаимодействия социальных предпринимателей с органами власти, бизнес-ассоциациями, инвесторами, научными сообществами, представителями СМИ и оказывает полный спектр поддержки действующим социальным предпринимателям, а также содействует в запуске нового социального предприятия.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Основными задачами развития креативных индустрий региона являются поддержка творческого бизнеса и креативной инфраструктуры, создание объектов интеллектуальной собственности, являющихся одним из важнейших стратегических ресурсов развития экономики, культуры, науки, образования и других сфер социально-экономической деятельности в Пензенской области. Поддержка субъектов МСП в рамках данного направления осуществляется Центром развития креативных индустрий.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Деятельность Центра компетенций в сфере сельскохозяйственной кооперации и поддержки фермеров направлена на поддержку и развитие малых форм хозяйствования и сельской кооперации, развитие сельскохозяйственного производства и расширение рынков сбыта, повышение эффективности господдержки агропромышленного комплекса (далее - АПК) и инвестиционной привлекательности АПК региона.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 целях обеспечения доступности финансовых ресурсов для субъектов МСП, а также физических лиц, применяющих специальный налоговый режим "Налог на профессиональный доход", в регионе ведет активную работу гарантийная </w:t>
      </w:r>
      <w:proofErr w:type="spellStart"/>
      <w:r>
        <w:t>микрокредитная</w:t>
      </w:r>
      <w:proofErr w:type="spellEnd"/>
      <w:r>
        <w:t xml:space="preserve"> компания АО МКК "Поручитель". Компания предоставляет бизнесу </w:t>
      </w:r>
      <w:proofErr w:type="spellStart"/>
      <w:r>
        <w:t>микрофинансовые</w:t>
      </w:r>
      <w:proofErr w:type="spellEnd"/>
      <w:r>
        <w:t xml:space="preserve"> займы, максимальная ставка по которым равна ключевой ставке Банка России, установленной на дату заключения договора займа, минус 0,5 процентных пункта. Также в АО МКК "Поручитель" представлен кредитный продукт "Большая семья", по которому действует фиксированная процентная ставка - 5% годовых.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По итогам 2024 года объем финансовой поддержки, оказанной АО МКК "Поручитель" субъектам МСП, составил более 1,6 млрд рублей.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Пензенской области сформирована региональная инновационная система поддержки МСП, включающая в себя бизнес-инкубаторы, технопарки, институты развития, сопровождающие научные разработки от идеи до вывода готового изделия на рынок.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Управляющей компанией бизнес-инкубаторов, технопарка "Яблочков", ИТ-парка является государственное казенное учреждение "Пензенское региональное объединение бизнес-инкубаторов", управляющей компанией технопарка в сфере высоких технологий "</w:t>
      </w:r>
      <w:proofErr w:type="spellStart"/>
      <w:r>
        <w:t>Рамеев</w:t>
      </w:r>
      <w:proofErr w:type="spellEnd"/>
      <w:r>
        <w:t>" является акционерное общество "Технопарк высоких технологий".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Пензенская область относится к регионам-лидерам по масштабам и скорости развития инфраструктуры поддержки инновационной деятельности, которая включает в себя сеть бизнес-инкубаторов общей площадью 24,9 тыс. кв. метров.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Бизнес-инкубаторы созданы для поддержки предпринимателей на ранней стадии их деятельности, а также физических лиц, применяющих специальный налоговый режим "Налог на профессиональный доход", зарегистрированных на территории Пензенской области, осуществляемой в виде предоставления в аренду помещений и оказания необходимых для ведения предпринимательской деятельности услуг, в том числе консультационных, бухгалтерских </w:t>
      </w:r>
      <w:r>
        <w:lastRenderedPageBreak/>
        <w:t>и юридических.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Субъекты малого предпринимательства, реализующие инновационные проекты с использованием результатов интеллектуальной деятельности или получившие финансовую поддержку по программам Фонда содействия инновациям, а также физические лица, применяющие специальный налоговый режим "Налог на профессиональный доход", зарегистрированные на территории Пензенской области, могут получать имущественную поддержку путем передачи в аренду имущества бизнес-инкубаторов без проведения торгов в соответствии с действующим законодательством.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Ограничения по видам деятельности субъектов малого предпринимательства, разрешенным для осуществления в бизнес-инкубаторах, созданных при </w:t>
      </w:r>
      <w:proofErr w:type="spellStart"/>
      <w:r>
        <w:t>софинансировании</w:t>
      </w:r>
      <w:proofErr w:type="spellEnd"/>
      <w:r>
        <w:t xml:space="preserve"> из федерального бюджета, устанавливаются федеральными законами, приказами Министерства экономического развития Российской Федерации и иными нормативно-правовыми актами федеральных органов государственной власти.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 бизнес-инкубаторах, которые созданы без </w:t>
      </w:r>
      <w:proofErr w:type="spellStart"/>
      <w:r>
        <w:t>софинансирования</w:t>
      </w:r>
      <w:proofErr w:type="spellEnd"/>
      <w:r>
        <w:t xml:space="preserve"> из федерального бюджета или </w:t>
      </w:r>
      <w:proofErr w:type="gramStart"/>
      <w:r>
        <w:t>срок деятельности</w:t>
      </w:r>
      <w:proofErr w:type="gramEnd"/>
      <w:r>
        <w:t xml:space="preserve"> которых с момента ввода в эксплуатацию составляет более 10 лет, допускается размещение субъектов малого предпринимательства, за исключением следующих видов деятельности: финансовых, страховых услуг, ломбардов, игорного бизнеса, производства подакцизных товаров, за исключением изготовления ювелирных изделий.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Также для таких объектов не устанавливаются ограничения по площади помещений, предоставляемых субъектам малого предпринимательства и организациям, образующим инфраструктуру поддержки субъектов МСП.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целях создания благоприятных условий для развития МСП в сфере информационных технологий создан ИТ-парк путем перепрофилирования бизнес-инкубатора инновационного типа (г. Пенза, ул. Гагарина, 16). В дальнейшем ИТ-парк станет центром сформированного в Пензенской области ИТ-кластера и одним из показательных объектов инфраструктуры поддержки МСП в сфере информационных технологий.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Пензенской области реализуется комплекс мероприятий по вовлечению детей и молодежи в исследовательскую инженерно-техническую деятельность, формированию у них инновационного и предпринимательского мышления. С 2012 года ключевыми инфраструктурными площадками являются центры молодежного инновационного творчества (далее - ЦМИТ), по числу которых Пензенская область занимает 3-е место в Российской Федерации.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настоящее время в регионе создана сеть, включающая 18 ЦМИТ, из них 13 - в г. Пензе, 2 - в г. Заречном, 1 - в г. Кузнецке, 1 - в г. Никольске, 1 - в г. Каменке. Помимо основных площадок 6 центров инициировали открытие дополнительных площадок, что позволяет обеспечивать расширенный доступ школьников к высокотехнологичному оборудованию.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Каждый ЦМИТ работает по своим планам, организует обучение детей работе с программным обеспечением и высокотехнологичным оборудованием центра, создает условия для конструирования, проектирования и изготовления различных предметов и моделей своими руками.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 целях реализации федерального проекта "Акселерация субъектов малого и среднего предпринимательства" создан и активно функционирует "Центр кластерного развития" (далее - ЦКР). Основной целью ЦКР является содействие формированию и развитию территориальных экономических кластеров Пензенской области и </w:t>
      </w:r>
      <w:proofErr w:type="spellStart"/>
      <w:r>
        <w:t>межкластерного</w:t>
      </w:r>
      <w:proofErr w:type="spellEnd"/>
      <w:r>
        <w:t xml:space="preserve"> взаимодействия на основе создания соответствующих организационно-информационных условий, активизации социального взаимодействия и кооперационных связей для обеспечения инновационного развития и </w:t>
      </w:r>
      <w:r>
        <w:lastRenderedPageBreak/>
        <w:t>долгосрочной конкурентоспособности кластеров региона. ЦКР осуществляет поддержку следующих территориально-отраслевых кластеров: приборостроительного кластера "Безопасность", ИТ-кластера, инженерно-производственного кластера "</w:t>
      </w:r>
      <w:proofErr w:type="spellStart"/>
      <w:r>
        <w:t>Биомед</w:t>
      </w:r>
      <w:proofErr w:type="spellEnd"/>
      <w:r>
        <w:t>", кондитерского кластера "Союз пензенских кондитеров", кластера легкой промышленности "</w:t>
      </w:r>
      <w:proofErr w:type="spellStart"/>
      <w:r>
        <w:t>Легпром</w:t>
      </w:r>
      <w:proofErr w:type="spellEnd"/>
      <w:r>
        <w:t>", пензенского кластера деревянного домостроения и деревообработки, пензенского станкостроительного кластера "</w:t>
      </w:r>
      <w:proofErr w:type="spellStart"/>
      <w:r>
        <w:t>ПензаСтанкоМаш</w:t>
      </w:r>
      <w:proofErr w:type="spellEnd"/>
      <w:r>
        <w:t>".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целях эффективной реализации совместных кластерных проектов ЦКР организует участие членов региональных отраслевых кластеров в международных и всероссийских выставках, содействует в получении разрешительной документации для продукции предприятий в целях выхода на внутренние и зарубежные рынки, а также рынки крупных заказчиков, проводит информационно-рекламные кампании по продвижению продукции предприятий как на отечественном, так и на зарубежных рынках, участвует в разработке и реализации специализированных образовательных программ, направленных на повышение квалификации сотрудников предприятий территориальных кластеров.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С 2019 года ЦКР является официальным представительством ФГБУ "Фонд содействия развитию малых форм предприятий в научно-технической сфере" (далее - Фонд содействия инновациям) в Пензенской области. Благодаря активной работе представительства с субъектами малого инновационного предпринимательства региона за 2019 - 2023 годы Фондом содействия инновациям были поддержаны 204 проекта молодых </w:t>
      </w:r>
      <w:proofErr w:type="spellStart"/>
      <w:r>
        <w:t>инноваторов</w:t>
      </w:r>
      <w:proofErr w:type="spellEnd"/>
      <w:r>
        <w:t xml:space="preserve"> и производственных предприятий из Пензенской области на общую сумму более 992,5 млн рублей.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 настоящее время приоритетными направлениями инновационного развития региона являются: развитие региональной инфраструктуры, необходимой для эксплуатации беспилотных авиационных систем, развитие </w:t>
      </w:r>
      <w:proofErr w:type="spellStart"/>
      <w:r>
        <w:t>электрозаправочной</w:t>
      </w:r>
      <w:proofErr w:type="spellEnd"/>
      <w:r>
        <w:t xml:space="preserve"> инфраструктуры, а также развитие креативных индустрий, поддержка и продвижение творческих инициатив.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Развитие региональной инфраструктуры для эксплуатации беспилотных авиационных систем (далее - БАС) предусматривает эффективное проектирование и производство БАС и комплектующих, развитие системы непрерывной подготовки отраслевых специалистов и научно-технического потенциала.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 части развития </w:t>
      </w:r>
      <w:proofErr w:type="spellStart"/>
      <w:r>
        <w:t>электрозаправочной</w:t>
      </w:r>
      <w:proofErr w:type="spellEnd"/>
      <w:r>
        <w:t xml:space="preserve"> инфраструктуры в 2024 году установлено 10 объектов "быстрой" зарядной инфраструктуры для электрического автомобильного транспорта.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июне 2016 года Правительство Российской Федерации утвердило Стратегию развития малого и среднего предпринимательства в Российской Федерации на период до 2030 года (далее - Стратегия).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Стратегия представляет собой межотраслевой документ стратегического планирования в сфере развития МСП и является основой для реализации плановых и программно-целевых документов, содержащих мероприятия, направленные на развитие малого и среднего предпринимательства на территории Пензенской области.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Приоритетными направлениями Стратегии, которые реализуются на территории Пензенской области, являются стимулирование спроса на продукцию малых и средних предприятий, развитие микрофинансирования, расширение информационной поддержки малого и среднего предпринимательства, развитие малого и среднего предпринимательства в </w:t>
      </w:r>
      <w:proofErr w:type="spellStart"/>
      <w:r>
        <w:t>монопрофильных</w:t>
      </w:r>
      <w:proofErr w:type="spellEnd"/>
      <w:r>
        <w:t xml:space="preserve"> муниципальных образованиях, укрепление кадрового и предпринимательского потенциала путем внедрения программ обучения для предпринимателей.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 целях создания благоприятных условий ведения предпринимательской деятельности на территории региона между Правительством Пензенской области и АО "Федеральная корпорация по развитию малого и среднего предпринимательства" заключено бессрочное Соглашение о </w:t>
      </w:r>
      <w:r>
        <w:lastRenderedPageBreak/>
        <w:t>взаимодействии.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рамках реализации данного соглашения взаимодействие осуществляется по следующим основным направлениям: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повышение доступности кредитных ресурсов для субъектов МСП;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оказание имущественной поддержки субъектам МСП;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развитие систем обучения предпринимательского сообщества;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оказание маркетинговой и информационной поддержки по вопросам ведения предпринимательской деятельности.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АО "Корпорация развития Пензенской области" является специализированной организацией по привлечению инвестиций и работе с инвесторами, а также инфраструктурой поддержки субъектов МСП.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Ежегодно Пензенская область принимает участие в конкурсном отборе, проводимом Минэкономразвития России, на предоставление субсидии из федерального бюджета бюджету Пензенской области на государственную поддержку МСП, а также физических лиц, применяющих специальный налоговый режим "Налог на профессиональный доход".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По итогам проведения конкурсного отбора между Правительством Пензенской области и Минэкономразвития России заключается соглашение о предоставлении субсидии из федерального бюджета бюджету субъекта Российской Федерации на государственную поддержку МСП, а также физических лиц, применяющих специальный налоговый режим "Налог на профессиональный доход".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 2024 году получили комплексные услуги и прошли обучение 2648 субъектов МСП и 399 </w:t>
      </w:r>
      <w:proofErr w:type="spellStart"/>
      <w:r>
        <w:t>самозанятых</w:t>
      </w:r>
      <w:proofErr w:type="spellEnd"/>
      <w:r>
        <w:t>. Финансовая поддержка в виде грантов оказана 6 молодым предпринимателям и социальным предприятиям.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Во исполнение </w:t>
      </w:r>
      <w:hyperlink r:id="rId18">
        <w:r>
          <w:rPr>
            <w:color w:val="0000FF"/>
          </w:rPr>
          <w:t>Указа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 в Пензенской области на базе многофункциональных центров предоставления государственных и муниципальных услуг (далее - МФЦ) организовано поэтапное предоставление государственных и муниципальных услуг для физических и юридических лиц по принципу "одного окна".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настоящее время в регионе действуют 33 многофункциональных центра предоставления государственных и муниципальных услуг в каждом городском округе и муниципальном районе Пензенской области.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МФЦ не только позволили упростить процедуры оказания услуг населению, синхронизировать работу разных ведомств, но и обеспечили комфорт посетителей, снизили временные и финансовые затраты граждан. Путем создания МФЦ был решен целый ряд важных задач. Благодаря использованию принципа "одного окна" при получении физическими и юридическими лицами государственных и муниципальных услуг происходит упрощение процедуры их оказания, сокращение сроков, повышение комфортности их получения, повышение удовлетворенности их качеством.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На базе МФЦ предоставляется более 420 видов государственных и муниципальных услуг. С каждым днем МФЦ становится эффективной системой перехода к новому технологическому укладу оказания услуг гражданам в электронном виде, что исключит дублирование потоков бумажных документов и устранит ненужные процедуры оказания услуг гражданам, повысит удовлетворенность населения деятельностью органов власти Пензенской области и органов </w:t>
      </w:r>
      <w:r>
        <w:lastRenderedPageBreak/>
        <w:t>местного самоуправления.</w:t>
      </w: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Title"/>
        <w:jc w:val="center"/>
        <w:outlineLvl w:val="1"/>
      </w:pPr>
      <w:r>
        <w:t>Порядок</w:t>
      </w:r>
    </w:p>
    <w:p w:rsidR="008E199E" w:rsidRDefault="008E199E">
      <w:pPr>
        <w:pStyle w:val="ConsPlusTitle"/>
        <w:jc w:val="center"/>
      </w:pPr>
      <w:r>
        <w:t>предоставления субсидий из бюджета Пензенской области</w:t>
      </w:r>
    </w:p>
    <w:p w:rsidR="008E199E" w:rsidRDefault="008E199E">
      <w:pPr>
        <w:pStyle w:val="ConsPlusTitle"/>
        <w:jc w:val="center"/>
      </w:pPr>
      <w:r>
        <w:t>местным бюджетам в целях финансового обеспечения</w:t>
      </w:r>
    </w:p>
    <w:p w:rsidR="008E199E" w:rsidRDefault="008E199E">
      <w:pPr>
        <w:pStyle w:val="ConsPlusTitle"/>
        <w:jc w:val="center"/>
      </w:pPr>
      <w:r>
        <w:t>(возмещения) затрат, связанных с обеспечением деятельности</w:t>
      </w:r>
    </w:p>
    <w:p w:rsidR="008E199E" w:rsidRDefault="008E199E">
      <w:pPr>
        <w:pStyle w:val="ConsPlusTitle"/>
        <w:jc w:val="center"/>
      </w:pPr>
      <w:r>
        <w:t>управляющей компании (дочернего общества управляющей</w:t>
      </w:r>
    </w:p>
    <w:p w:rsidR="008E199E" w:rsidRDefault="008E199E">
      <w:pPr>
        <w:pStyle w:val="ConsPlusTitle"/>
        <w:jc w:val="center"/>
      </w:pPr>
      <w:r>
        <w:t>компании) территории опережающего развития,</w:t>
      </w:r>
    </w:p>
    <w:p w:rsidR="008E199E" w:rsidRDefault="008E199E">
      <w:pPr>
        <w:pStyle w:val="ConsPlusTitle"/>
        <w:jc w:val="center"/>
      </w:pPr>
      <w:r>
        <w:t>развитием и содержанием объектов инфраструктуры</w:t>
      </w:r>
    </w:p>
    <w:p w:rsidR="008E199E" w:rsidRDefault="008E199E">
      <w:pPr>
        <w:pStyle w:val="ConsPlusTitle"/>
        <w:jc w:val="center"/>
      </w:pPr>
      <w:r>
        <w:t>территории опережающего развития</w:t>
      </w: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ind w:firstLine="540"/>
        <w:jc w:val="both"/>
      </w:pPr>
      <w:r>
        <w:t>1. Настоящий Порядок устанавливает правила и условия предоставления субсидий из бюджета Пензенской области местным бюджетам в целях финансового обеспечения (возмещения) затрат, связанных с обеспечением деятельности управляющей компании (дочернего общества управляющей компании) территории опережающего развития, развитием и содержанием объектов инфраструктуры территории опережающего развития (далее соответственно - Порядок, субсидии, ТОР).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настоящем Порядке, применяются в том же значении, что и в Федеральном </w:t>
      </w:r>
      <w:hyperlink r:id="rId19">
        <w:r>
          <w:rPr>
            <w:color w:val="0000FF"/>
          </w:rPr>
          <w:t>законе</w:t>
        </w:r>
      </w:hyperlink>
      <w:r>
        <w:t xml:space="preserve"> от 29.12.2014 N 473-ФЗ "О территориях опережающего развития в Российской Федерации" (с последующими изменениями).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2" w:name="P157"/>
      <w:bookmarkEnd w:id="2"/>
      <w:r>
        <w:t>3. Субсидии предоставляются в целях финансового обеспечения (возмещения) затрат, связанных с обеспечением деятельности управляющей компании ТОР (дочернего общества управляющей компании), развитием и содержанием объектов инфраструктуры ТОР, в том числе на: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а) технологическое присоединение (подключение) объектов инфраструктуры ТОР к инженерным сетям, включая электро-, газо-, тепло-, водоснабжение и водоотведение, связь и другие сети;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4" w:name="P159"/>
      <w:bookmarkEnd w:id="4"/>
      <w:r>
        <w:t>б) создание, реконструкцию объектов инфраструктуры ТОР;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5" w:name="P160"/>
      <w:bookmarkEnd w:id="5"/>
      <w:r>
        <w:t>в) приобретение объектов инфраструктуры ТОР (зданий, строений, сооружений и иных объектов недвижимого имущества, а также земельных участков (в том числе сельскохозяйственного назначения), оборудования и материалов);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6" w:name="P161"/>
      <w:bookmarkEnd w:id="6"/>
      <w:r>
        <w:t>г) капитальный ремонт, ремонт и содержание объектов инфраструктуры ТОР;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д) возмещение произведенных затрат управляющей компании ТОР (дочернего общества управляющей компании) и (или) резидента ТОР, осуществленных на вышеуказанные цели.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4. Предельный уровень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муниципального образования из бюджета Пензенской области устанавливается в соответствии с </w:t>
      </w:r>
      <w:hyperlink r:id="rId20">
        <w:r>
          <w:rPr>
            <w:color w:val="0000FF"/>
          </w:rPr>
          <w:t>пунктом 12</w:t>
        </w:r>
      </w:hyperlink>
      <w:r>
        <w:t xml:space="preserve"> Правил формирования, предоставления и распределения субсидий из бюджета Пензенской области бюджетам муниципальных образований Пензенской области (далее - Правила), утвержденных постановлением Правительства Пензенской области от 16.12.2019 N 800-пП "О формировании, предоставлении и распределении субсидий из бюджета Пензенской области бюджетам муниципальных образований Пензенской области" (с последующими изменениями).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5. Главным распорядителем средств бюджета Пензенской области является Министерство экономического развития и промышленности Пензенской области (далее - Министерство).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6. Условием предоставления субсидий является заключение органом местного самоуправления муниципального образования с Министерством Соглашения, предусматривающего обязательства муниципального образования по исполнению расходных </w:t>
      </w:r>
      <w:r>
        <w:lastRenderedPageBreak/>
        <w:t xml:space="preserve">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ответственность за неисполнение предусмотренных Соглашением обязательств.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7. Для предоставления субсидий Министерство организует отбор заявок среди муниципальных образований на право получения субсидии (далее - отбор заявок).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Министерство размещает на официальном сайте Министерства в информационно-телекоммуникационной сети "Интернет" объявление о проведении отбора заявок, в котором указывает дату начала приема заявок на участие, а также срок, в течение которого принимаются заявки (далее - заявка).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7" w:name="P168"/>
      <w:bookmarkEnd w:id="7"/>
      <w:r>
        <w:t>8. Для получения субсидии в целях финансового обеспечения затрат на уплату авансовых платежей, связанных с обеспечением деятельности управляющей компании ТОР (дочернего общества управляющей компании), развитием и содержанием объектов инфраструктуры ТОР, муниципальное образование представляет в Министерство заявку, составленную в произвольной форме и с указанием суммы запрашиваемой субсидии, план-график реализации мероприятий по созданию объектов инфраструктуры ТОР (далее - план-график) с приложением документов, действительных в течение текущего финансового года: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8" w:name="P169"/>
      <w:bookmarkEnd w:id="8"/>
      <w:r>
        <w:t xml:space="preserve">а) на цели, указанные в </w:t>
      </w:r>
      <w:hyperlink w:anchor="P158">
        <w:r>
          <w:rPr>
            <w:color w:val="0000FF"/>
          </w:rPr>
          <w:t>подпункте "а" пункта 3</w:t>
        </w:r>
      </w:hyperlink>
      <w:r>
        <w:t xml:space="preserve"> настоящего Порядка: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заявок на подключение (технологическое присоединение) объектов инфраструктуры ТОР к сетям инженерно-технического обеспечения;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расчет платы за подключение (технологическое присоединение) объектов инфраструктуры ТОР к сетям инженерно-технического обеспечения;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9" w:name="P172"/>
      <w:bookmarkEnd w:id="9"/>
      <w:r>
        <w:t xml:space="preserve">б) на цели, указанные в </w:t>
      </w:r>
      <w:hyperlink w:anchor="P159">
        <w:r>
          <w:rPr>
            <w:color w:val="0000FF"/>
          </w:rPr>
          <w:t>подпункте "б" пункта 3</w:t>
        </w:r>
      </w:hyperlink>
      <w:r>
        <w:t xml:space="preserve"> настоящего Порядка: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технических заданий на разработку проектной документации объектов инфраструктуры ТОР;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положительных заключений государственной экспертизы проектной документации, содержащих сведения о проверке достоверности определения сметной стоимости объектов капитального строительства (в случае если проведение такой экспертизы в соответствии с законодательством Российской Федерации о градостроительной деятельности является обязательным);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заключений о достоверности определения сметной стоимости строительства, реконструкции объектов капитального строительства (в случае если проведение такой проверки в соответствии с законодательством Российской Федерации о градостроительной деятельности является обязательным);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10" w:name="P176"/>
      <w:bookmarkEnd w:id="10"/>
      <w:r>
        <w:t xml:space="preserve">в) на цели, указанные в </w:t>
      </w:r>
      <w:hyperlink w:anchor="P160">
        <w:r>
          <w:rPr>
            <w:color w:val="0000FF"/>
          </w:rPr>
          <w:t>подпункте "в" пункта 3</w:t>
        </w:r>
      </w:hyperlink>
      <w:r>
        <w:t xml:space="preserve"> настоящего Порядка: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отчетов об оценке приобретаемых объектов инфраструктуры ТОР, составленных в соответствии с законодательством, регулирующим оценочную деятельность в Российской Федерации;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документов, подтверждающие полномочия оценщика;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11" w:name="P179"/>
      <w:bookmarkEnd w:id="11"/>
      <w:r>
        <w:t xml:space="preserve">г) на цели, указанные в </w:t>
      </w:r>
      <w:hyperlink w:anchor="P161">
        <w:r>
          <w:rPr>
            <w:color w:val="0000FF"/>
          </w:rPr>
          <w:t>подпункте "г" пункта 3</w:t>
        </w:r>
      </w:hyperlink>
      <w:r>
        <w:t xml:space="preserve"> настоящего Порядка: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технических заданий на разработку проектной документации объектов инфраструктуры ТОР (в случае финансового обеспечения затрат на капитальный ремонт, ремонт объектов инфраструктуры ТОР);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lastRenderedPageBreak/>
        <w:t>- расчет стоимости затрат (в случае финансового обеспечения затрат на содержание объектов инфраструктуры ТОР);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положительных заключений государственной экспертизы проектной документации, содержащих сведения о проверке достоверности определения сметной стоимости объектов капитального строительства (в случае если проведение такой экспертизы в соответствии с законодательством Российской Федерации о градостроительной деятельности является обязательным);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заключений о достоверности определения сметной стоимости капитального ремонта объектов капитального строительства (в случае если проведение такой проверки в соответствии с законодательством Российской Федерации о градостроительной деятельности является обязательным).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9. Для получения субсидии в целях возмещения произведенных затрат управляющей компании ТОР (дочернего общества управляющей компании) и (или) резидента ТОР муниципальное образование представляет в Министерство заявку, составленную в произвольной форме и с указанием суммы запрашиваемой субсидии, план-график реализации мероприятий по созданию инфраструктуры ТОР (далее - план-график) с приложением документов, действительных в течение текущего финансового года: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а) на цели, указанные в </w:t>
      </w:r>
      <w:hyperlink w:anchor="P158">
        <w:r>
          <w:rPr>
            <w:color w:val="0000FF"/>
          </w:rPr>
          <w:t>подпункте "а" пункта 3</w:t>
        </w:r>
      </w:hyperlink>
      <w:r>
        <w:t xml:space="preserve"> настоящего Порядка: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- копии документов, указанных в </w:t>
      </w:r>
      <w:hyperlink w:anchor="P169">
        <w:r>
          <w:rPr>
            <w:color w:val="0000FF"/>
          </w:rPr>
          <w:t>подпункте "а" пункта 8</w:t>
        </w:r>
      </w:hyperlink>
      <w:r>
        <w:t xml:space="preserve"> настоящего Порядка;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договоров подключения (технологического присоединения) объектов инфраструктуры ТОР к сетям инженерно-технического обеспечения;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первичных учетных документов, платежных поручений с отметкой банка о списании средств и иных документов, подтверждающих фактически понесенные затраты;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б) на цели, указанные в </w:t>
      </w:r>
      <w:hyperlink w:anchor="P159">
        <w:r>
          <w:rPr>
            <w:color w:val="0000FF"/>
          </w:rPr>
          <w:t>подпункте "б" пункта 3</w:t>
        </w:r>
      </w:hyperlink>
      <w:r>
        <w:t xml:space="preserve"> настоящего Порядка: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- копии документов, указанных в </w:t>
      </w:r>
      <w:hyperlink w:anchor="P172">
        <w:r>
          <w:rPr>
            <w:color w:val="0000FF"/>
          </w:rPr>
          <w:t>подпункте "б" пункта 8</w:t>
        </w:r>
      </w:hyperlink>
      <w:r>
        <w:t xml:space="preserve"> настоящего Порядка;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договоров о строительстве, реконструкции объектов инфраструктуры ТОР;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актов о приемке выполненных работ;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первичных учетных документов, платежных поручений с отметкой банка о списании средств и иных документов, подтверждающих фактически понесенные затраты;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в) на цели, указанные в </w:t>
      </w:r>
      <w:hyperlink w:anchor="P160">
        <w:r>
          <w:rPr>
            <w:color w:val="0000FF"/>
          </w:rPr>
          <w:t>подпункте "в" пункта 3</w:t>
        </w:r>
      </w:hyperlink>
      <w:r>
        <w:t xml:space="preserve"> настоящего Порядка: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- копии документов, указанных в </w:t>
      </w:r>
      <w:hyperlink w:anchor="P176">
        <w:r>
          <w:rPr>
            <w:color w:val="0000FF"/>
          </w:rPr>
          <w:t>подпункте "в" пункта 8</w:t>
        </w:r>
      </w:hyperlink>
      <w:r>
        <w:t xml:space="preserve"> настоящего Порядка;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договоров на приобретение объектов инфраструктуры ТОР;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первичных учетных документов, платежных поручений с отметкой банка о списании средств и иных документов, подтверждающих фактически понесенные затраты;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г) на цели, указанные в </w:t>
      </w:r>
      <w:hyperlink w:anchor="P161">
        <w:r>
          <w:rPr>
            <w:color w:val="0000FF"/>
          </w:rPr>
          <w:t>подпункте "г" пункта 3</w:t>
        </w:r>
      </w:hyperlink>
      <w:r>
        <w:t xml:space="preserve"> настоящего Порядка: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- копии документов, указанных в </w:t>
      </w:r>
      <w:hyperlink w:anchor="P179">
        <w:r>
          <w:rPr>
            <w:color w:val="0000FF"/>
          </w:rPr>
          <w:t>подпункте "г" пункта 8</w:t>
        </w:r>
      </w:hyperlink>
      <w:r>
        <w:t xml:space="preserve"> настоящего Порядка;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договоров на капитальный ремонт, ремонт и содержание объектов инфраструктуры ТОР;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lastRenderedPageBreak/>
        <w:t>- копии актов о приемке выполненных работ;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копии первичных учетных документов, платежных поручений с отметкой банка о списании средств и иных документов, подтверждающих фактически понесенные затраты.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12" w:name="P203"/>
      <w:bookmarkEnd w:id="12"/>
      <w:r>
        <w:t>10. Заявка должна быть прошита, пронумерована, заверена на оборотной стороне последнего листа печатью администрации муниципального образования и подписью главы администрации муниципального образования либо лицом, его замещающим, с указанием общего количества листов.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Исправления допускаются, если они заверены печатью администрации муниципального образования и подписью главы администрации муниципального образования либо лицом, его замещающим.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При подписании заявки лицом, замещающим главу администрации муниципального образования, к заявке прилагается документ, подтверждающий данный факт.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11. Министерство регистрирует заявки в день их приема в журнале регистрации заявок с указанием времени их приема (по московскому времени).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12. Субсидии предоставляются бюджетам муниципальных образований, заявки которых прошли отбор заявок.</w:t>
      </w:r>
    </w:p>
    <w:p w:rsidR="008E199E" w:rsidRDefault="008E199E">
      <w:pPr>
        <w:pStyle w:val="ConsPlusNormal"/>
        <w:spacing w:before="220"/>
        <w:ind w:firstLine="540"/>
        <w:jc w:val="both"/>
      </w:pPr>
      <w:bookmarkStart w:id="13" w:name="P208"/>
      <w:bookmarkEnd w:id="13"/>
      <w:r>
        <w:t>13. Критериями отбора заявок для предоставления субсидий являются: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а) наличие постановления Правительства Российской Федерации о создании ТОР на территории муниципального образования, которым определены финансовые обязательства Пензенской области и муниципального образования, на территории которого создается ТОР;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б) наличие Соглашения о создании ТОР, заключенного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29.12.2014 N 473-ФЗ "О территориях опережающего развития в Российской Федерации" (с последующими изменениями);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в) наличие муниципальных правовых актов, утверждающих перечень мероприятий,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в соответствии с требованиями нормативных правовых актов Российской Федерации, нормативных правовых актов Пензенской области;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г) обязательство о предоставлении муниципальным образованием гарантийного письма об обеспечении </w:t>
      </w:r>
      <w:proofErr w:type="spellStart"/>
      <w:r>
        <w:t>софинансирования</w:t>
      </w:r>
      <w:proofErr w:type="spellEnd"/>
      <w:r>
        <w:t xml:space="preserve"> муниципальным образованием расходного обязательства.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14. Министерство в течение 10 рабочих дней с даты регистрации заявки рассматривает заявку и принимает решение о наличии основания для предоставления субсидии или об отказе в предоставлении субсидии (с указанием причин), о чем уведомляет муниципальное образование в письменной форме в течение трех рабочих дней с момента принятия соответствующего решения.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15. Заявка муниципального образования считается прошедшей отбор заявок при соответствии </w:t>
      </w:r>
      <w:hyperlink w:anchor="P168">
        <w:r>
          <w:rPr>
            <w:color w:val="0000FF"/>
          </w:rPr>
          <w:t>пунктам 8</w:t>
        </w:r>
      </w:hyperlink>
      <w:r>
        <w:t xml:space="preserve">, </w:t>
      </w:r>
      <w:hyperlink w:anchor="P203">
        <w:r>
          <w:rPr>
            <w:color w:val="0000FF"/>
          </w:rPr>
          <w:t>10</w:t>
        </w:r>
      </w:hyperlink>
      <w:r>
        <w:t xml:space="preserve">, </w:t>
      </w:r>
      <w:hyperlink w:anchor="P208">
        <w:r>
          <w:rPr>
            <w:color w:val="0000FF"/>
          </w:rPr>
          <w:t>13</w:t>
        </w:r>
      </w:hyperlink>
      <w:r>
        <w:t xml:space="preserve"> настоящего Порядка. По результатам отбора заявок Министерство издает приказ с указанием всех заявок, прошедших отбор. Преимущественное право на получение субсидии по итогам отбора заявок имеет муниципальное образование, подавшее заявку ранее другого муниципального образования.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16. В предоставлении субсидии муниципальному образованию отказывается в следующих случаях: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а) непредставление (представление не в полном объеме) документов, указанных в </w:t>
      </w:r>
      <w:hyperlink w:anchor="P168">
        <w:r>
          <w:rPr>
            <w:color w:val="0000FF"/>
          </w:rPr>
          <w:t>пункте 8</w:t>
        </w:r>
      </w:hyperlink>
      <w:r>
        <w:t xml:space="preserve"> </w:t>
      </w:r>
      <w:r>
        <w:lastRenderedPageBreak/>
        <w:t>настоящего Порядка;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б) недостоверность сведений, указанных в документах, установленных </w:t>
      </w:r>
      <w:hyperlink w:anchor="P168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в) несоответствие требованиям оформления заявки, установленным </w:t>
      </w:r>
      <w:hyperlink w:anchor="P203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г) несоответствие муниципального образования критериям отбора муниципальных образований для предоставления субсидии согласно </w:t>
      </w:r>
      <w:hyperlink w:anchor="P208">
        <w:r>
          <w:rPr>
            <w:color w:val="0000FF"/>
          </w:rPr>
          <w:t>пункту 13</w:t>
        </w:r>
      </w:hyperlink>
      <w:r>
        <w:t xml:space="preserve"> настоящего Порядка;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д) недостаток бюджетных ассигнований, предусмотренных законом Пензенской области о бюджете Пензенской области на очередной финансовый год и плановый период, и лимитов бюджетных обязательств, утвержденных в установленном порядке Министерству на соответствующий финансовый год на цели, указанные в </w:t>
      </w:r>
      <w:hyperlink w:anchor="P157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17. Субсидии предоставляются в пределах бюджетных ассигнований, предусмотренных в законе Пензенской области о бюджете Пензенской области на текущий финансовый год и плановый период.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Возмещению подлежат затраты управляющей компании ТОР (дочернего общества управляющей компании) и (или) резидента ТОР, возникшие после создания соответствующей ТОР.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Предельный объем субсидии, предоставляемой i-</w:t>
      </w:r>
      <w:proofErr w:type="spellStart"/>
      <w:r>
        <w:t>му</w:t>
      </w:r>
      <w:proofErr w:type="spellEnd"/>
      <w:r>
        <w:t xml:space="preserve"> муниципальному образованию (</w:t>
      </w:r>
      <w:proofErr w:type="spellStart"/>
      <w:r>
        <w:t>Ci</w:t>
      </w:r>
      <w:proofErr w:type="spellEnd"/>
      <w:r>
        <w:t>), рассчитывается по формуле:</w:t>
      </w: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2011680" cy="3041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ind w:firstLine="540"/>
        <w:jc w:val="both"/>
      </w:pPr>
      <w:r>
        <w:t>где:</w:t>
      </w:r>
    </w:p>
    <w:p w:rsidR="008E199E" w:rsidRDefault="008E199E">
      <w:pPr>
        <w:pStyle w:val="ConsPlusNormal"/>
        <w:spacing w:before="220"/>
        <w:ind w:firstLine="540"/>
        <w:jc w:val="both"/>
      </w:pPr>
      <w:proofErr w:type="spellStart"/>
      <w:r>
        <w:t>Vс</w:t>
      </w:r>
      <w:proofErr w:type="spellEnd"/>
      <w:r>
        <w:t xml:space="preserve"> - размер бюджетных ассигнований, предусмотренных Министерству законом о бюджете Пензенской области на текущий финансовый год и плановый период;</w:t>
      </w:r>
    </w:p>
    <w:p w:rsidR="008E199E" w:rsidRDefault="008E199E">
      <w:pPr>
        <w:pStyle w:val="ConsPlusNormal"/>
        <w:spacing w:before="220"/>
        <w:ind w:firstLine="540"/>
        <w:jc w:val="both"/>
      </w:pPr>
      <w:proofErr w:type="spellStart"/>
      <w:r>
        <w:t>Si</w:t>
      </w:r>
      <w:proofErr w:type="spellEnd"/>
      <w:r>
        <w:t xml:space="preserve"> - объем субсидии, запрашиваемый i-м муниципальным образованием в соответствии с расчетом затрат;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387985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суммарный объем субсидии, запрашиваемый муниципальными образованиями в соответствии с расчетом затрат.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случае если объем субсидии, рассчитанный по формуле в соответствии с настоящим пунктом, превышает запрашиваемый i-м муниципальным образованием объем финансирования, то субсидия предоставляется в размере запрашиваемого объема финансирования.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случае если объем субсидии, рассчитанный по формуле в соответствии с настоящим пунктом, превышает объем финансирования, предусмотренный планом-графиком, то субсидия предоставляется в размере, не превышающем объема финансирования, предусмотренного планом-графиком.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18. Предоставление субсидии осуществляется на основании Соглашения, составленного по типовой форме, утверждаемой Министерством финансов Пензенской области. Соглашение и дополнительные соглашения к Соглашению, предусматривающие внесение в него изменений и его расторжение, заключаются в соответствии с указанной типовой формой.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Соглашение должно содержать 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</w:t>
      </w:r>
      <w:r>
        <w:lastRenderedPageBreak/>
        <w:t>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образований, приводящего к невозможности предоставления субсидии в размере, определенном в Соглашении.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19. Результатами использования субсидии являются: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количество резидентов ТОР нарастающим итогом, единиц;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- количество рабочих мест, созданных в рамках действия ТОР, единиц.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Порядок оценки эффективности использования субсидий, а также перечень количественных значений результатов использования субсидий, соответствующих целевым показателям (индикаторам) государственной программы Пензенской области "Развитие инвестиционного потенциала, инновационной деятельности и предпринимательства в Пензенской области", устанавливаются Соглашением в соответствии с </w:t>
      </w:r>
      <w:hyperlink r:id="rId24">
        <w:r>
          <w:rPr>
            <w:color w:val="0000FF"/>
          </w:rPr>
          <w:t>подпунктом "д" пункта 4</w:t>
        </w:r>
      </w:hyperlink>
      <w:r>
        <w:t xml:space="preserve"> Правил.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20. Перечисление субсидии в бюджет муниципального образования осуществляется на основании заявки Министерства на получение субсидии.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В заявке указываются необходимый объем средств в пределах предусмотренной субсидии, расходное обязательство, на осуществление которого субсидия предоставляется, и срок возникновения денежного обязательства муниципального образования в целях исполнения соответствующего расходного обязательства. К заявке прилагается выписка из решения представительного органа муниципального образования о бюджете муниципального образования на соответствующий год, подтверждающая наличие бюджетных ассигнований на </w:t>
      </w:r>
      <w:proofErr w:type="spellStart"/>
      <w:r>
        <w:t>софинансирование</w:t>
      </w:r>
      <w:proofErr w:type="spellEnd"/>
      <w:r>
        <w:t xml:space="preserve"> расходного обязательства.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Перечисление субсидии осуществляется в установленном порядке на единый счет бюджета муниципального образования, открытый в Управлении Федерального казначейства по Пензенской области.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21. Субсидия носит целевой характер.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В случае нецелевого использования субсидии муниципальным образованием к нему применяются бюджетные меры принуждения, предусмотренные бюджетным законодательством Российской Федерации.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22. В случае нарушения муниципальным образованием обязательств по достижению значений результатов использования субсидии, установленных Соглашением, и в случае </w:t>
      </w:r>
      <w:proofErr w:type="spellStart"/>
      <w:r>
        <w:t>неустранения</w:t>
      </w:r>
      <w:proofErr w:type="spellEnd"/>
      <w:r>
        <w:t xml:space="preserve"> указанных нарушений до первой даты представления отчетности о достижении значений результатов использования субсидии объем средств, подлежащий возврату из бюджета муниципального образования Пензенской области в бюджет Пензенской области, рассчитывается в порядке, установленном </w:t>
      </w:r>
      <w:hyperlink r:id="rId25">
        <w:r>
          <w:rPr>
            <w:color w:val="0000FF"/>
          </w:rPr>
          <w:t>пунктами 17</w:t>
        </w:r>
      </w:hyperlink>
      <w:r>
        <w:t xml:space="preserve"> - </w:t>
      </w:r>
      <w:hyperlink r:id="rId26">
        <w:r>
          <w:rPr>
            <w:color w:val="0000FF"/>
          </w:rPr>
          <w:t>18</w:t>
        </w:r>
      </w:hyperlink>
      <w:r>
        <w:t xml:space="preserve"> Правил.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23. Муниципальное образование, являющееся получателем субсидии, представляет в Министерство ежеквартально, не позднее 20-го числа месяца, следующего за отчетным периодом, отчет о расходах бюджета муниципального образования, а также не позднее 20-го числа месяца, следующего за годом, в котором была получена субсидия, отчет о достижении установленных Соглашением значений результатов использования субсидии.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24. Не использованные по состоянию на 1 января текущего финансового года остатки субсидий, предоставленных из бюджета Пензенской области бюджету муниципального образования, подлежат возврату в доход бюджета Пензенской области в течение первых 15 рабочих дней текущего финансового года.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 xml:space="preserve">25. Ответственность за достоверность представляемых в Министерство сведений и </w:t>
      </w:r>
      <w:r>
        <w:lastRenderedPageBreak/>
        <w:t>соблюдение условий, предусмотренных настоящим Порядком и Соглашением, возлагается на муниципальные образования Пензенской области.</w:t>
      </w:r>
    </w:p>
    <w:p w:rsidR="008E199E" w:rsidRDefault="008E199E">
      <w:pPr>
        <w:pStyle w:val="ConsPlusNormal"/>
        <w:spacing w:before="220"/>
        <w:ind w:firstLine="540"/>
        <w:jc w:val="both"/>
      </w:pPr>
      <w:r>
        <w:t>26. Контроль за соблюдением муниципальным образованием Пензенской области условий предоставления субсидий осуществляется Министерством и уполномоченными органами государственного финансового контроля.</w:t>
      </w: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jc w:val="both"/>
      </w:pPr>
    </w:p>
    <w:p w:rsidR="008E199E" w:rsidRDefault="008E19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D2D" w:rsidRDefault="00472D2D"/>
    <w:sectPr w:rsidR="00472D2D" w:rsidSect="00DA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9E"/>
    <w:rsid w:val="00302C62"/>
    <w:rsid w:val="00457BD5"/>
    <w:rsid w:val="00472D2D"/>
    <w:rsid w:val="008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5A9CC-C37F-4E32-AFF7-7F39C7CA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9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19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19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0902" TargetMode="External"/><Relationship Id="rId13" Type="http://schemas.openxmlformats.org/officeDocument/2006/relationships/hyperlink" Target="https://login.consultant.ru/link/?req=doc&amp;base=RLAW021&amp;n=204690&amp;dst=100005" TargetMode="External"/><Relationship Id="rId18" Type="http://schemas.openxmlformats.org/officeDocument/2006/relationships/hyperlink" Target="https://login.consultant.ru/link/?req=doc&amp;base=LAW&amp;n=129336" TargetMode="External"/><Relationship Id="rId26" Type="http://schemas.openxmlformats.org/officeDocument/2006/relationships/hyperlink" Target="https://login.consultant.ru/link/?req=doc&amp;base=RLAW021&amp;n=181119&amp;dst=1001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618" TargetMode="External"/><Relationship Id="rId7" Type="http://schemas.openxmlformats.org/officeDocument/2006/relationships/hyperlink" Target="https://login.consultant.ru/link/?req=doc&amp;base=RLAW021&amp;n=204690&amp;dst=100005" TargetMode="External"/><Relationship Id="rId12" Type="http://schemas.openxmlformats.org/officeDocument/2006/relationships/hyperlink" Target="https://login.consultant.ru/link/?req=doc&amp;base=RLAW021&amp;n=200609&amp;dst=100005" TargetMode="External"/><Relationship Id="rId17" Type="http://schemas.openxmlformats.org/officeDocument/2006/relationships/hyperlink" Target="https://login.consultant.ru/link/?req=doc&amp;base=RLAW021&amp;n=206766&amp;dst=100030" TargetMode="External"/><Relationship Id="rId25" Type="http://schemas.openxmlformats.org/officeDocument/2006/relationships/hyperlink" Target="https://login.consultant.ru/link/?req=doc&amp;base=RLAW021&amp;n=181119&amp;dst=1000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991" TargetMode="External"/><Relationship Id="rId20" Type="http://schemas.openxmlformats.org/officeDocument/2006/relationships/hyperlink" Target="https://login.consultant.ru/link/?req=doc&amp;base=RLAW021&amp;n=181119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0609&amp;dst=100005" TargetMode="External"/><Relationship Id="rId11" Type="http://schemas.openxmlformats.org/officeDocument/2006/relationships/hyperlink" Target="file:///C:\Users\&#1086;&#1090;&#1084;&#1089;&#1087;&#1075;&#1083;&#1089;&#1087;\Desktop\www.pravo.gov.ru" TargetMode="External"/><Relationship Id="rId24" Type="http://schemas.openxmlformats.org/officeDocument/2006/relationships/hyperlink" Target="https://login.consultant.ru/link/?req=doc&amp;base=RLAW021&amp;n=181119&amp;dst=100143" TargetMode="External"/><Relationship Id="rId5" Type="http://schemas.openxmlformats.org/officeDocument/2006/relationships/hyperlink" Target="https://login.consultant.ru/link/?req=doc&amp;base=RLAW021&amp;n=199887&amp;dst=100005" TargetMode="External"/><Relationship Id="rId15" Type="http://schemas.openxmlformats.org/officeDocument/2006/relationships/hyperlink" Target="https://login.consultant.ru/link/?req=doc&amp;base=LAW&amp;n=491669" TargetMode="External"/><Relationship Id="rId23" Type="http://schemas.openxmlformats.org/officeDocument/2006/relationships/image" Target="media/image2.wmf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1&amp;n=206776" TargetMode="External"/><Relationship Id="rId19" Type="http://schemas.openxmlformats.org/officeDocument/2006/relationships/hyperlink" Target="https://login.consultant.ru/link/?req=doc&amp;base=LAW&amp;n=4816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4739&amp;dst=100379" TargetMode="External"/><Relationship Id="rId14" Type="http://schemas.openxmlformats.org/officeDocument/2006/relationships/hyperlink" Target="https://login.consultant.ru/link/?req=doc&amp;base=RLAW021&amp;n=204690&amp;dst=100005" TargetMode="External"/><Relationship Id="rId22" Type="http://schemas.openxmlformats.org/officeDocument/2006/relationships/image" Target="media/image1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7539</Words>
  <Characters>42973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отмспглсп</dc:creator>
  <cp:lastModifiedBy>Оператор</cp:lastModifiedBy>
  <cp:revision>2</cp:revision>
  <dcterms:created xsi:type="dcterms:W3CDTF">2025-07-23T14:41:00Z</dcterms:created>
  <dcterms:modified xsi:type="dcterms:W3CDTF">2025-07-23T14:41:00Z</dcterms:modified>
</cp:coreProperties>
</file>